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B613B" w14:textId="3B56898F" w:rsidR="00903764" w:rsidRPr="007059C9" w:rsidRDefault="006275FA" w:rsidP="00D5582C">
      <w:pPr>
        <w:rPr>
          <w:b/>
        </w:rPr>
      </w:pPr>
      <w:r w:rsidRPr="007059C9">
        <w:rPr>
          <w:b/>
        </w:rPr>
        <w:t>PLCY</w:t>
      </w:r>
      <w:r w:rsidR="00F021E2" w:rsidRPr="007059C9">
        <w:rPr>
          <w:b/>
        </w:rPr>
        <w:t>801 Design</w:t>
      </w:r>
      <w:r w:rsidRPr="007059C9">
        <w:rPr>
          <w:b/>
        </w:rPr>
        <w:t xml:space="preserve"> of Policy Research</w:t>
      </w:r>
    </w:p>
    <w:p w14:paraId="4DDC89F1" w14:textId="15AD831C" w:rsidR="00F021E2" w:rsidRPr="007059C9" w:rsidRDefault="006B2E95" w:rsidP="00D5582C">
      <w:pPr>
        <w:rPr>
          <w:b/>
        </w:rPr>
      </w:pPr>
      <w:r w:rsidRPr="007059C9">
        <w:rPr>
          <w:b/>
        </w:rPr>
        <w:t xml:space="preserve">Spring 2013 </w:t>
      </w:r>
    </w:p>
    <w:p w14:paraId="3B248FB7" w14:textId="77777777" w:rsidR="00A42B65" w:rsidRPr="007059C9" w:rsidRDefault="00A42B65" w:rsidP="00D5582C"/>
    <w:p w14:paraId="7AC3F7BE" w14:textId="77777777" w:rsidR="00A42B65" w:rsidRPr="007059C9" w:rsidRDefault="00A42B65" w:rsidP="00D5582C">
      <w:pPr>
        <w:rPr>
          <w:rFonts w:eastAsia="Times New Roman" w:cs="Times New Roman"/>
          <w:b/>
          <w:bCs/>
          <w:color w:val="000000"/>
        </w:rPr>
      </w:pPr>
      <w:r w:rsidRPr="007059C9">
        <w:rPr>
          <w:rFonts w:eastAsia="Times New Roman" w:cs="Times New Roman"/>
          <w:b/>
          <w:bCs/>
          <w:color w:val="000000"/>
        </w:rPr>
        <w:t>Instructor</w:t>
      </w:r>
    </w:p>
    <w:p w14:paraId="4B042FCE" w14:textId="77777777" w:rsidR="00A42B65" w:rsidRPr="007059C9" w:rsidRDefault="00A42B65" w:rsidP="00D5582C">
      <w:pPr>
        <w:rPr>
          <w:rFonts w:eastAsia="Times New Roman" w:cs="Times New Roman"/>
          <w:bCs/>
          <w:color w:val="000000"/>
        </w:rPr>
      </w:pPr>
      <w:r w:rsidRPr="007059C9">
        <w:rPr>
          <w:rFonts w:eastAsia="Times New Roman" w:cs="Times New Roman"/>
          <w:bCs/>
          <w:color w:val="000000"/>
        </w:rPr>
        <w:t>Douglas Lee Lauen</w:t>
      </w:r>
    </w:p>
    <w:p w14:paraId="7AAACE5E" w14:textId="77777777" w:rsidR="00A42B65" w:rsidRDefault="00A42B65" w:rsidP="00D5582C">
      <w:pPr>
        <w:rPr>
          <w:rFonts w:eastAsia="Times New Roman" w:cs="Times New Roman"/>
          <w:bCs/>
          <w:color w:val="000000"/>
        </w:rPr>
      </w:pPr>
      <w:r w:rsidRPr="007059C9">
        <w:rPr>
          <w:rFonts w:eastAsia="Times New Roman" w:cs="Times New Roman"/>
          <w:bCs/>
          <w:color w:val="000000"/>
        </w:rPr>
        <w:t>Assistant Professor of Public Policy</w:t>
      </w:r>
    </w:p>
    <w:p w14:paraId="59C05FA0" w14:textId="77777777" w:rsidR="003531E5" w:rsidRPr="007059C9" w:rsidRDefault="003531E5" w:rsidP="00D5582C">
      <w:pPr>
        <w:rPr>
          <w:rFonts w:eastAsia="Times New Roman" w:cs="Times New Roman"/>
          <w:color w:val="000000"/>
        </w:rPr>
      </w:pPr>
    </w:p>
    <w:p w14:paraId="05BBF8DE" w14:textId="77777777" w:rsidR="00A42B65" w:rsidRPr="007059C9" w:rsidRDefault="00A42B65" w:rsidP="00D5582C">
      <w:pPr>
        <w:rPr>
          <w:rFonts w:eastAsia="Times New Roman" w:cs="Times New Roman"/>
          <w:color w:val="000000"/>
        </w:rPr>
      </w:pPr>
      <w:r w:rsidRPr="007059C9">
        <w:rPr>
          <w:rFonts w:eastAsia="Times New Roman" w:cs="Times New Roman"/>
          <w:b/>
          <w:bCs/>
          <w:color w:val="000000"/>
        </w:rPr>
        <w:t>Office</w:t>
      </w:r>
      <w:r w:rsidRPr="007059C9">
        <w:rPr>
          <w:rFonts w:eastAsia="Times New Roman" w:cs="Times New Roman"/>
          <w:color w:val="000000"/>
        </w:rPr>
        <w:t>: 121 Abernethy Hall</w:t>
      </w:r>
    </w:p>
    <w:p w14:paraId="6CEF34FF" w14:textId="77777777" w:rsidR="00DC27D5" w:rsidRPr="007059C9" w:rsidRDefault="00DC27D5" w:rsidP="00D5582C">
      <w:pPr>
        <w:rPr>
          <w:rFonts w:eastAsia="Times New Roman" w:cs="Times New Roman"/>
          <w:color w:val="000000"/>
        </w:rPr>
      </w:pPr>
      <w:r w:rsidRPr="007059C9">
        <w:rPr>
          <w:rFonts w:eastAsia="Times New Roman" w:cs="Times New Roman"/>
          <w:b/>
          <w:bCs/>
          <w:color w:val="000000"/>
        </w:rPr>
        <w:t>Office hours</w:t>
      </w:r>
      <w:r w:rsidRPr="007059C9">
        <w:rPr>
          <w:rFonts w:eastAsia="Times New Roman" w:cs="Times New Roman"/>
          <w:color w:val="000000"/>
        </w:rPr>
        <w:t>: </w:t>
      </w:r>
      <w:r w:rsidRPr="007059C9">
        <w:rPr>
          <w:rFonts w:eastAsia="Times New Roman" w:cs="Times New Roman"/>
          <w:bCs/>
          <w:color w:val="000000"/>
        </w:rPr>
        <w:t>Thurs. 3:30-4:30</w:t>
      </w:r>
    </w:p>
    <w:p w14:paraId="1CFA6506" w14:textId="77777777" w:rsidR="00A42B65" w:rsidRPr="007059C9" w:rsidRDefault="00A42B65" w:rsidP="00D5582C">
      <w:pPr>
        <w:rPr>
          <w:rFonts w:eastAsia="Times New Roman" w:cs="Times New Roman"/>
          <w:color w:val="000000"/>
        </w:rPr>
      </w:pPr>
      <w:r w:rsidRPr="007059C9">
        <w:rPr>
          <w:rFonts w:eastAsia="Times New Roman" w:cs="Times New Roman"/>
          <w:color w:val="000000"/>
        </w:rPr>
        <w:t> </w:t>
      </w:r>
    </w:p>
    <w:p w14:paraId="4D024F00" w14:textId="77777777" w:rsidR="00A42B65" w:rsidRPr="007059C9" w:rsidRDefault="00A42B65" w:rsidP="00D5582C">
      <w:pPr>
        <w:rPr>
          <w:rFonts w:eastAsia="Times New Roman" w:cs="Times New Roman"/>
          <w:color w:val="000000"/>
        </w:rPr>
      </w:pPr>
      <w:r w:rsidRPr="007059C9">
        <w:rPr>
          <w:rFonts w:eastAsia="Times New Roman" w:cs="Times New Roman"/>
          <w:b/>
          <w:bCs/>
          <w:color w:val="000000"/>
        </w:rPr>
        <w:t>Phone</w:t>
      </w:r>
      <w:r w:rsidRPr="007059C9">
        <w:rPr>
          <w:rFonts w:eastAsia="Times New Roman" w:cs="Times New Roman"/>
          <w:color w:val="000000"/>
        </w:rPr>
        <w:t>: (919) 843-5010</w:t>
      </w:r>
    </w:p>
    <w:p w14:paraId="6C9D9933" w14:textId="77777777" w:rsidR="00A42B65" w:rsidRPr="007059C9" w:rsidRDefault="00A42B65" w:rsidP="00D5582C">
      <w:pPr>
        <w:rPr>
          <w:rFonts w:eastAsia="Times New Roman" w:cs="Times New Roman"/>
          <w:color w:val="000000"/>
        </w:rPr>
      </w:pPr>
      <w:r w:rsidRPr="007059C9">
        <w:rPr>
          <w:rFonts w:eastAsia="Times New Roman" w:cs="Times New Roman"/>
          <w:b/>
          <w:bCs/>
          <w:color w:val="000000"/>
        </w:rPr>
        <w:t>Email</w:t>
      </w:r>
      <w:r w:rsidRPr="007059C9">
        <w:rPr>
          <w:rFonts w:eastAsia="Times New Roman" w:cs="Times New Roman"/>
          <w:color w:val="000000"/>
        </w:rPr>
        <w:t>: </w:t>
      </w:r>
      <w:hyperlink r:id="rId6" w:history="1">
        <w:r w:rsidRPr="007059C9">
          <w:rPr>
            <w:rFonts w:eastAsia="Times New Roman" w:cs="Times New Roman"/>
            <w:color w:val="0000FF"/>
            <w:u w:val="single"/>
          </w:rPr>
          <w:t>dlauen@unc.edu</w:t>
        </w:r>
      </w:hyperlink>
    </w:p>
    <w:p w14:paraId="750B3070" w14:textId="77777777" w:rsidR="00A42B65" w:rsidRPr="007059C9" w:rsidRDefault="00A42B65" w:rsidP="00D5582C">
      <w:pPr>
        <w:rPr>
          <w:rFonts w:eastAsia="Times New Roman" w:cs="Times New Roman"/>
          <w:color w:val="000000"/>
        </w:rPr>
      </w:pPr>
      <w:r w:rsidRPr="007059C9">
        <w:rPr>
          <w:rFonts w:eastAsia="Times New Roman" w:cs="Times New Roman"/>
          <w:color w:val="000000"/>
        </w:rPr>
        <w:t> </w:t>
      </w:r>
    </w:p>
    <w:p w14:paraId="494E1CB7" w14:textId="6352EE23" w:rsidR="00A42B65" w:rsidRPr="007059C9" w:rsidRDefault="00A42B65" w:rsidP="00D5582C">
      <w:pPr>
        <w:rPr>
          <w:rFonts w:eastAsia="Times New Roman" w:cs="Times New Roman"/>
          <w:color w:val="000000"/>
        </w:rPr>
      </w:pPr>
      <w:r w:rsidRPr="007059C9">
        <w:rPr>
          <w:rFonts w:eastAsia="Times New Roman" w:cs="Times New Roman"/>
          <w:b/>
          <w:bCs/>
          <w:color w:val="000000"/>
        </w:rPr>
        <w:t>Course meeting time and location: </w:t>
      </w:r>
      <w:r w:rsidR="00DC27D5" w:rsidRPr="007059C9">
        <w:rPr>
          <w:rFonts w:eastAsia="Times New Roman" w:cs="Times New Roman"/>
          <w:bCs/>
          <w:color w:val="000000"/>
        </w:rPr>
        <w:t>Mon 2:00-4:50</w:t>
      </w:r>
      <w:r w:rsidRPr="007059C9">
        <w:rPr>
          <w:rFonts w:eastAsia="Times New Roman" w:cs="Times New Roman"/>
          <w:color w:val="000000"/>
        </w:rPr>
        <w:t xml:space="preserve">, </w:t>
      </w:r>
      <w:r w:rsidR="00DC27D5" w:rsidRPr="007059C9">
        <w:rPr>
          <w:rFonts w:eastAsia="Times New Roman" w:cs="Times New Roman"/>
          <w:color w:val="000000"/>
        </w:rPr>
        <w:t>Hamilton 517</w:t>
      </w:r>
    </w:p>
    <w:p w14:paraId="0E29F5B6" w14:textId="77777777" w:rsidR="00A42B65" w:rsidRPr="007059C9" w:rsidRDefault="00A42B65" w:rsidP="00D5582C"/>
    <w:p w14:paraId="2EE1BE6D" w14:textId="6EC11F4B" w:rsidR="00BD229E" w:rsidRPr="007059C9" w:rsidRDefault="00BD229E" w:rsidP="00D5582C">
      <w:pPr>
        <w:rPr>
          <w:b/>
        </w:rPr>
      </w:pPr>
      <w:r w:rsidRPr="007059C9">
        <w:rPr>
          <w:b/>
        </w:rPr>
        <w:t>Course Goals</w:t>
      </w:r>
    </w:p>
    <w:p w14:paraId="644D33F7" w14:textId="00CF726F" w:rsidR="00DC27D5" w:rsidRPr="007059C9" w:rsidRDefault="00DC27D5" w:rsidP="00D5582C">
      <w:r w:rsidRPr="007059C9">
        <w:t>Students will</w:t>
      </w:r>
    </w:p>
    <w:p w14:paraId="7F8A1128" w14:textId="62566EEF" w:rsidR="00BD229E" w:rsidRPr="007059C9" w:rsidRDefault="00A3021B" w:rsidP="00D5582C">
      <w:pPr>
        <w:pStyle w:val="ListParagraph"/>
        <w:numPr>
          <w:ilvl w:val="0"/>
          <w:numId w:val="6"/>
        </w:numPr>
      </w:pPr>
      <w:r w:rsidRPr="007059C9">
        <w:t xml:space="preserve">Develop a </w:t>
      </w:r>
      <w:r w:rsidR="00DC27D5" w:rsidRPr="007059C9">
        <w:t xml:space="preserve">foundation </w:t>
      </w:r>
      <w:r w:rsidRPr="007059C9">
        <w:t xml:space="preserve">of knowledge about </w:t>
      </w:r>
      <w:r w:rsidR="00BD229E" w:rsidRPr="007059C9">
        <w:t xml:space="preserve">drawing causal inferences from experimental and non-experimental </w:t>
      </w:r>
      <w:r w:rsidR="00B53490">
        <w:t>quantitative</w:t>
      </w:r>
      <w:r w:rsidR="00BD229E" w:rsidRPr="007059C9">
        <w:t xml:space="preserve"> social science research. </w:t>
      </w:r>
    </w:p>
    <w:p w14:paraId="01DA7284" w14:textId="124F418D" w:rsidR="00BD229E" w:rsidRPr="007059C9" w:rsidRDefault="00BD229E" w:rsidP="00D5582C">
      <w:pPr>
        <w:pStyle w:val="ListParagraph"/>
        <w:numPr>
          <w:ilvl w:val="0"/>
          <w:numId w:val="6"/>
        </w:numPr>
      </w:pPr>
      <w:r w:rsidRPr="007059C9">
        <w:t xml:space="preserve">Learn about </w:t>
      </w:r>
      <w:r w:rsidR="00DC27D5" w:rsidRPr="007059C9">
        <w:t>the identifying assumptions, strengths, and limitations of</w:t>
      </w:r>
      <w:r w:rsidRPr="007059C9">
        <w:t xml:space="preserve"> </w:t>
      </w:r>
      <w:r w:rsidR="00DC27D5" w:rsidRPr="007059C9">
        <w:t>research designs often used in social science research</w:t>
      </w:r>
      <w:r w:rsidRPr="007059C9">
        <w:t xml:space="preserve">. </w:t>
      </w:r>
    </w:p>
    <w:p w14:paraId="2CD383AD" w14:textId="5158ADDE" w:rsidR="00BD229E" w:rsidRPr="007059C9" w:rsidRDefault="00925E14" w:rsidP="00D5582C">
      <w:pPr>
        <w:pStyle w:val="ListParagraph"/>
        <w:numPr>
          <w:ilvl w:val="0"/>
          <w:numId w:val="6"/>
        </w:numPr>
      </w:pPr>
      <w:r w:rsidRPr="007059C9">
        <w:t xml:space="preserve">Understand, </w:t>
      </w:r>
      <w:r w:rsidR="00BD229E" w:rsidRPr="007059C9">
        <w:t>interpret</w:t>
      </w:r>
      <w:r w:rsidRPr="007059C9">
        <w:t>,</w:t>
      </w:r>
      <w:r w:rsidR="00A3021B" w:rsidRPr="007059C9">
        <w:t xml:space="preserve"> and critique peer-reviewed </w:t>
      </w:r>
      <w:r w:rsidR="00E3705D" w:rsidRPr="007059C9">
        <w:t xml:space="preserve">quantitative </w:t>
      </w:r>
      <w:r w:rsidR="00BD229E" w:rsidRPr="007059C9">
        <w:t>social science research</w:t>
      </w:r>
      <w:r w:rsidR="00A3021B" w:rsidRPr="007059C9">
        <w:t xml:space="preserve"> published in academic journals</w:t>
      </w:r>
      <w:r w:rsidR="00BD229E" w:rsidRPr="007059C9">
        <w:t xml:space="preserve">. </w:t>
      </w:r>
    </w:p>
    <w:p w14:paraId="609BEEEA" w14:textId="021FEF6C" w:rsidR="00B97398" w:rsidRPr="007059C9" w:rsidRDefault="00A3021B" w:rsidP="00D5582C">
      <w:pPr>
        <w:pStyle w:val="ListParagraph"/>
        <w:numPr>
          <w:ilvl w:val="0"/>
          <w:numId w:val="6"/>
        </w:numPr>
      </w:pPr>
      <w:r w:rsidRPr="007059C9">
        <w:t>C</w:t>
      </w:r>
      <w:r w:rsidR="00BD229E" w:rsidRPr="007059C9">
        <w:t xml:space="preserve">onstruct </w:t>
      </w:r>
      <w:r w:rsidR="00E3705D" w:rsidRPr="007059C9">
        <w:t xml:space="preserve">quantitative </w:t>
      </w:r>
      <w:r w:rsidR="00BD229E" w:rsidRPr="007059C9">
        <w:t>research designs that have a stronger basis for causal inference</w:t>
      </w:r>
      <w:r w:rsidR="00797B66" w:rsidRPr="007059C9">
        <w:t xml:space="preserve">. </w:t>
      </w:r>
    </w:p>
    <w:p w14:paraId="59297154" w14:textId="77777777" w:rsidR="00B97398" w:rsidRPr="007059C9" w:rsidRDefault="00B97398" w:rsidP="00D5582C"/>
    <w:p w14:paraId="20587983" w14:textId="418B7096" w:rsidR="00797B66" w:rsidRPr="007059C9" w:rsidRDefault="00797B66" w:rsidP="00D5582C">
      <w:pPr>
        <w:rPr>
          <w:b/>
        </w:rPr>
      </w:pPr>
      <w:r w:rsidRPr="007059C9">
        <w:rPr>
          <w:b/>
        </w:rPr>
        <w:t>Prerequisites</w:t>
      </w:r>
    </w:p>
    <w:p w14:paraId="7D3A52E7" w14:textId="5371E689" w:rsidR="00797B66" w:rsidRPr="007059C9" w:rsidRDefault="00B97398" w:rsidP="00D5582C">
      <w:r w:rsidRPr="007059C9">
        <w:t>A s</w:t>
      </w:r>
      <w:r w:rsidR="00797B66" w:rsidRPr="007059C9">
        <w:t>trong backgroun</w:t>
      </w:r>
      <w:r w:rsidR="00E3705D" w:rsidRPr="007059C9">
        <w:t>d in multiple linear regression</w:t>
      </w:r>
      <w:r w:rsidRPr="007059C9">
        <w:t xml:space="preserve"> analysis. </w:t>
      </w:r>
    </w:p>
    <w:p w14:paraId="25531645" w14:textId="77777777" w:rsidR="00BD229E" w:rsidRPr="007059C9" w:rsidRDefault="00BD229E" w:rsidP="00D5582C"/>
    <w:p w14:paraId="591D2A5C" w14:textId="77777777" w:rsidR="00B97398" w:rsidRPr="007059C9" w:rsidRDefault="00B97398" w:rsidP="00D5582C">
      <w:pPr>
        <w:rPr>
          <w:rFonts w:eastAsia="Times New Roman" w:cs="Times New Roman"/>
          <w:b/>
          <w:bCs/>
          <w:color w:val="000000"/>
        </w:rPr>
      </w:pPr>
      <w:r w:rsidRPr="007059C9">
        <w:rPr>
          <w:rFonts w:eastAsia="Times New Roman" w:cs="Times New Roman"/>
          <w:b/>
          <w:bCs/>
          <w:color w:val="000000"/>
        </w:rPr>
        <w:t>Course Sakai Site </w:t>
      </w:r>
    </w:p>
    <w:p w14:paraId="4EEEFE10" w14:textId="38E5FBCC" w:rsidR="00B97398" w:rsidRPr="007059C9" w:rsidRDefault="00B53490" w:rsidP="00D5582C">
      <w:pPr>
        <w:rPr>
          <w:rFonts w:eastAsia="Times New Roman" w:cs="Times New Roman"/>
          <w:color w:val="000000"/>
        </w:rPr>
      </w:pPr>
      <w:r>
        <w:rPr>
          <w:rFonts w:eastAsia="Times New Roman" w:cs="Times New Roman"/>
          <w:color w:val="000000"/>
          <w:u w:val="single"/>
        </w:rPr>
        <w:t>The course S</w:t>
      </w:r>
      <w:r w:rsidR="00B97398" w:rsidRPr="007059C9">
        <w:rPr>
          <w:rFonts w:eastAsia="Times New Roman" w:cs="Times New Roman"/>
          <w:color w:val="000000"/>
          <w:u w:val="single"/>
        </w:rPr>
        <w:t xml:space="preserve">akai site has a schedule of topics and </w:t>
      </w:r>
      <w:proofErr w:type="spellStart"/>
      <w:r w:rsidR="007059C9">
        <w:rPr>
          <w:rFonts w:eastAsia="Times New Roman" w:cs="Times New Roman"/>
          <w:color w:val="000000"/>
          <w:u w:val="single"/>
        </w:rPr>
        <w:t>pdfs</w:t>
      </w:r>
      <w:proofErr w:type="spellEnd"/>
      <w:r w:rsidR="00B97398" w:rsidRPr="007059C9">
        <w:rPr>
          <w:rFonts w:eastAsia="Times New Roman" w:cs="Times New Roman"/>
          <w:color w:val="000000"/>
          <w:u w:val="single"/>
        </w:rPr>
        <w:t xml:space="preserve"> </w:t>
      </w:r>
      <w:r w:rsidR="007059C9">
        <w:rPr>
          <w:rFonts w:eastAsia="Times New Roman" w:cs="Times New Roman"/>
          <w:color w:val="000000"/>
          <w:u w:val="single"/>
        </w:rPr>
        <w:t>of</w:t>
      </w:r>
      <w:r w:rsidR="00B97398" w:rsidRPr="007059C9">
        <w:rPr>
          <w:rFonts w:eastAsia="Times New Roman" w:cs="Times New Roman"/>
          <w:color w:val="000000"/>
          <w:u w:val="single"/>
        </w:rPr>
        <w:t xml:space="preserve"> selected readings</w:t>
      </w:r>
      <w:r w:rsidR="007059C9">
        <w:rPr>
          <w:rFonts w:eastAsia="Times New Roman" w:cs="Times New Roman"/>
          <w:color w:val="000000"/>
          <w:u w:val="single"/>
        </w:rPr>
        <w:t xml:space="preserve"> (under Resources)</w:t>
      </w:r>
      <w:r w:rsidR="00B97398" w:rsidRPr="007059C9">
        <w:rPr>
          <w:rFonts w:eastAsia="Times New Roman" w:cs="Times New Roman"/>
          <w:color w:val="000000"/>
          <w:u w:val="single"/>
        </w:rPr>
        <w:t>.</w:t>
      </w:r>
      <w:r w:rsidR="00B97398" w:rsidRPr="007059C9">
        <w:rPr>
          <w:rFonts w:eastAsia="Times New Roman" w:cs="Times New Roman"/>
          <w:color w:val="000000"/>
        </w:rPr>
        <w:t xml:space="preserve"> Please consult this regularly. Important notices about schedule changes and other operati</w:t>
      </w:r>
      <w:r>
        <w:rPr>
          <w:rFonts w:eastAsia="Times New Roman" w:cs="Times New Roman"/>
          <w:color w:val="000000"/>
        </w:rPr>
        <w:t>onal details will be posted on S</w:t>
      </w:r>
      <w:r w:rsidR="00B97398" w:rsidRPr="007059C9">
        <w:rPr>
          <w:rFonts w:eastAsia="Times New Roman" w:cs="Times New Roman"/>
          <w:color w:val="000000"/>
        </w:rPr>
        <w:t>akai. You are responsi</w:t>
      </w:r>
      <w:r>
        <w:rPr>
          <w:rFonts w:eastAsia="Times New Roman" w:cs="Times New Roman"/>
          <w:color w:val="000000"/>
        </w:rPr>
        <w:t>ble for all information on the S</w:t>
      </w:r>
      <w:r w:rsidR="00B97398" w:rsidRPr="007059C9">
        <w:rPr>
          <w:rFonts w:eastAsia="Times New Roman" w:cs="Times New Roman"/>
          <w:color w:val="000000"/>
        </w:rPr>
        <w:t>akai and will submit all assignments to it, so please check it several times a week throughout the semester.</w:t>
      </w:r>
    </w:p>
    <w:p w14:paraId="4F1AFB07" w14:textId="77777777" w:rsidR="00B97398" w:rsidRPr="007059C9" w:rsidRDefault="00B97398" w:rsidP="00D5582C"/>
    <w:p w14:paraId="67EC9D42" w14:textId="12EA1F45" w:rsidR="00797B66" w:rsidRPr="007059C9" w:rsidRDefault="00797B66" w:rsidP="00D5582C">
      <w:pPr>
        <w:rPr>
          <w:b/>
        </w:rPr>
      </w:pPr>
      <w:r w:rsidRPr="007059C9">
        <w:rPr>
          <w:b/>
        </w:rPr>
        <w:t>Course Expectations</w:t>
      </w:r>
    </w:p>
    <w:p w14:paraId="774D34B9" w14:textId="7845B429" w:rsidR="00797B66" w:rsidRDefault="00797B66" w:rsidP="00D5582C">
      <w:pPr>
        <w:widowControl w:val="0"/>
        <w:autoSpaceDE w:val="0"/>
        <w:autoSpaceDN w:val="0"/>
        <w:adjustRightInd w:val="0"/>
        <w:rPr>
          <w:rFonts w:cs="Times New Roman"/>
        </w:rPr>
      </w:pPr>
      <w:r w:rsidRPr="007059C9">
        <w:rPr>
          <w:rFonts w:cs="Times New Roman"/>
        </w:rPr>
        <w:t xml:space="preserve">Grading </w:t>
      </w:r>
      <w:r w:rsidR="00BD30F0" w:rsidRPr="007059C9">
        <w:rPr>
          <w:rFonts w:cs="Times New Roman"/>
        </w:rPr>
        <w:t xml:space="preserve">will be based on approximately </w:t>
      </w:r>
      <w:r w:rsidR="00BD30F0" w:rsidRPr="007059C9">
        <w:rPr>
          <w:rFonts w:cs="Times New Roman"/>
          <w:b/>
          <w:u w:val="single"/>
        </w:rPr>
        <w:t>four</w:t>
      </w:r>
      <w:r w:rsidR="00E3705D" w:rsidRPr="007059C9">
        <w:rPr>
          <w:rFonts w:cs="Times New Roman"/>
        </w:rPr>
        <w:t xml:space="preserve"> homework assignments (totaling </w:t>
      </w:r>
      <w:r w:rsidR="00E3705D" w:rsidRPr="007059C9">
        <w:rPr>
          <w:rFonts w:cs="Times New Roman"/>
          <w:b/>
          <w:u w:val="single"/>
        </w:rPr>
        <w:t>40</w:t>
      </w:r>
      <w:r w:rsidRPr="007059C9">
        <w:rPr>
          <w:rFonts w:cs="Times New Roman"/>
          <w:b/>
          <w:u w:val="single"/>
        </w:rPr>
        <w:t>%</w:t>
      </w:r>
      <w:r w:rsidRPr="007059C9">
        <w:rPr>
          <w:rFonts w:cs="Times New Roman"/>
        </w:rPr>
        <w:t xml:space="preserve">), </w:t>
      </w:r>
      <w:r w:rsidRPr="007059C9">
        <w:rPr>
          <w:rFonts w:cs="Times New Roman"/>
          <w:b/>
          <w:u w:val="single"/>
        </w:rPr>
        <w:t>one</w:t>
      </w:r>
      <w:r w:rsidRPr="007059C9">
        <w:rPr>
          <w:rFonts w:cs="Times New Roman"/>
        </w:rPr>
        <w:t xml:space="preserve"> final </w:t>
      </w:r>
      <w:r w:rsidR="0059605D">
        <w:rPr>
          <w:rFonts w:cs="Times New Roman"/>
        </w:rPr>
        <w:t xml:space="preserve">quantitative research </w:t>
      </w:r>
      <w:r w:rsidR="004967E1">
        <w:rPr>
          <w:rFonts w:cs="Times New Roman"/>
        </w:rPr>
        <w:t>design</w:t>
      </w:r>
      <w:r w:rsidR="0059605D">
        <w:rPr>
          <w:rFonts w:cs="Times New Roman"/>
        </w:rPr>
        <w:t xml:space="preserve"> </w:t>
      </w:r>
      <w:r w:rsidR="00E3705D" w:rsidRPr="007059C9">
        <w:rPr>
          <w:rFonts w:cs="Times New Roman"/>
        </w:rPr>
        <w:t>paper (</w:t>
      </w:r>
      <w:r w:rsidR="009E7CB9">
        <w:rPr>
          <w:rFonts w:cs="Times New Roman"/>
          <w:b/>
          <w:u w:val="single"/>
        </w:rPr>
        <w:t>4</w:t>
      </w:r>
      <w:r w:rsidR="00E3705D" w:rsidRPr="007059C9">
        <w:rPr>
          <w:rFonts w:cs="Times New Roman"/>
          <w:b/>
          <w:u w:val="single"/>
        </w:rPr>
        <w:t>0</w:t>
      </w:r>
      <w:r w:rsidRPr="007059C9">
        <w:rPr>
          <w:rFonts w:cs="Times New Roman"/>
          <w:b/>
          <w:u w:val="single"/>
        </w:rPr>
        <w:t>%</w:t>
      </w:r>
      <w:r w:rsidRPr="007059C9">
        <w:rPr>
          <w:rFonts w:cs="Times New Roman"/>
        </w:rPr>
        <w:t>)</w:t>
      </w:r>
      <w:r w:rsidR="00E3705D" w:rsidRPr="007059C9">
        <w:rPr>
          <w:rFonts w:cs="Times New Roman"/>
        </w:rPr>
        <w:t xml:space="preserve">, </w:t>
      </w:r>
      <w:r w:rsidR="009E7CB9" w:rsidRPr="00B53490">
        <w:rPr>
          <w:rFonts w:cs="Times New Roman"/>
          <w:b/>
          <w:u w:val="single"/>
        </w:rPr>
        <w:t>one</w:t>
      </w:r>
      <w:r w:rsidR="009E7CB9">
        <w:rPr>
          <w:rFonts w:cs="Times New Roman"/>
        </w:rPr>
        <w:t xml:space="preserve"> class presentation of your </w:t>
      </w:r>
      <w:r w:rsidR="004967E1">
        <w:rPr>
          <w:rFonts w:cs="Times New Roman"/>
        </w:rPr>
        <w:t>final</w:t>
      </w:r>
      <w:r w:rsidR="009E7CB9">
        <w:rPr>
          <w:rFonts w:cs="Times New Roman"/>
        </w:rPr>
        <w:t xml:space="preserve"> paper (</w:t>
      </w:r>
      <w:r w:rsidR="009E7CB9" w:rsidRPr="009E7CB9">
        <w:rPr>
          <w:rFonts w:cs="Times New Roman"/>
          <w:b/>
          <w:u w:val="single"/>
        </w:rPr>
        <w:t>10%</w:t>
      </w:r>
      <w:r w:rsidR="009E7CB9">
        <w:rPr>
          <w:rFonts w:cs="Times New Roman"/>
        </w:rPr>
        <w:t xml:space="preserve">), </w:t>
      </w:r>
      <w:r w:rsidR="00E3705D" w:rsidRPr="007059C9">
        <w:rPr>
          <w:rFonts w:cs="Times New Roman"/>
        </w:rPr>
        <w:t>and class participation (</w:t>
      </w:r>
      <w:r w:rsidR="00E3705D" w:rsidRPr="007059C9">
        <w:rPr>
          <w:rFonts w:cs="Times New Roman"/>
          <w:b/>
          <w:u w:val="single"/>
        </w:rPr>
        <w:t>10%</w:t>
      </w:r>
      <w:r w:rsidR="00E3705D" w:rsidRPr="007059C9">
        <w:rPr>
          <w:rFonts w:cs="Times New Roman"/>
        </w:rPr>
        <w:t>).</w:t>
      </w:r>
      <w:r w:rsidRPr="007059C9">
        <w:rPr>
          <w:rFonts w:cs="Times New Roman"/>
        </w:rPr>
        <w:t xml:space="preserve"> </w:t>
      </w:r>
      <w:r w:rsidR="009E7CB9">
        <w:rPr>
          <w:rFonts w:cs="Times New Roman"/>
        </w:rPr>
        <w:t xml:space="preserve">Assignments will be a variety of exercises, article reviews, and in-class presentations. </w:t>
      </w:r>
      <w:r w:rsidRPr="007059C9">
        <w:rPr>
          <w:rFonts w:cs="Times New Roman"/>
        </w:rPr>
        <w:t>Depending on the size of the class, some assignments may be done in groups.</w:t>
      </w:r>
    </w:p>
    <w:p w14:paraId="0582CC27" w14:textId="77777777" w:rsidR="00D5582C" w:rsidRPr="007059C9" w:rsidRDefault="00D5582C" w:rsidP="00D5582C">
      <w:pPr>
        <w:widowControl w:val="0"/>
        <w:autoSpaceDE w:val="0"/>
        <w:autoSpaceDN w:val="0"/>
        <w:adjustRightInd w:val="0"/>
        <w:rPr>
          <w:rFonts w:cs="Times New Roman"/>
        </w:rPr>
      </w:pPr>
    </w:p>
    <w:p w14:paraId="4E3A5197" w14:textId="77777777" w:rsidR="003531E5" w:rsidRDefault="003531E5">
      <w:pPr>
        <w:rPr>
          <w:rFonts w:cs="Times New Roman"/>
        </w:rPr>
      </w:pPr>
      <w:r>
        <w:rPr>
          <w:rFonts w:cs="Times New Roman"/>
        </w:rPr>
        <w:br w:type="page"/>
      </w:r>
    </w:p>
    <w:p w14:paraId="4281A76F" w14:textId="44215803" w:rsidR="000C7520" w:rsidRPr="00B53490" w:rsidRDefault="00825877" w:rsidP="00D5582C">
      <w:pPr>
        <w:widowControl w:val="0"/>
        <w:autoSpaceDE w:val="0"/>
        <w:autoSpaceDN w:val="0"/>
        <w:adjustRightInd w:val="0"/>
        <w:rPr>
          <w:rFonts w:cs="Times New Roman"/>
          <w:b/>
        </w:rPr>
      </w:pPr>
      <w:r w:rsidRPr="00B53490">
        <w:rPr>
          <w:rFonts w:cs="Times New Roman"/>
          <w:b/>
        </w:rPr>
        <w:lastRenderedPageBreak/>
        <w:t>Due Dates</w:t>
      </w:r>
    </w:p>
    <w:p w14:paraId="769EB471" w14:textId="61545C46" w:rsidR="00825877" w:rsidRDefault="00825877" w:rsidP="00D5582C">
      <w:pPr>
        <w:pStyle w:val="ListParagraph"/>
        <w:widowControl w:val="0"/>
        <w:numPr>
          <w:ilvl w:val="0"/>
          <w:numId w:val="7"/>
        </w:numPr>
        <w:autoSpaceDE w:val="0"/>
        <w:autoSpaceDN w:val="0"/>
        <w:adjustRightInd w:val="0"/>
      </w:pPr>
      <w:r w:rsidRPr="00B53490">
        <w:rPr>
          <w:rFonts w:cs="Times New Roman"/>
          <w:b/>
        </w:rPr>
        <w:t>January 23</w:t>
      </w:r>
      <w:r w:rsidR="008C7F6E" w:rsidRPr="00B53490">
        <w:rPr>
          <w:rFonts w:cs="Times New Roman"/>
          <w:b/>
        </w:rPr>
        <w:t>, 5 p</w:t>
      </w:r>
      <w:r w:rsidR="00242E2F" w:rsidRPr="00B53490">
        <w:rPr>
          <w:rFonts w:cs="Times New Roman"/>
          <w:b/>
        </w:rPr>
        <w:t>.</w:t>
      </w:r>
      <w:r w:rsidR="008C7F6E" w:rsidRPr="00B53490">
        <w:rPr>
          <w:rFonts w:cs="Times New Roman"/>
          <w:b/>
        </w:rPr>
        <w:t>m</w:t>
      </w:r>
      <w:r w:rsidR="00242E2F" w:rsidRPr="00B53490">
        <w:rPr>
          <w:rFonts w:cs="Times New Roman"/>
          <w:b/>
        </w:rPr>
        <w:t>.</w:t>
      </w:r>
      <w:r w:rsidRPr="005310A7">
        <w:rPr>
          <w:rFonts w:cs="Times New Roman"/>
        </w:rPr>
        <w:t xml:space="preserve"> – Assignment 1 –</w:t>
      </w:r>
      <w:r w:rsidR="00194EC5" w:rsidRPr="005310A7">
        <w:rPr>
          <w:rFonts w:cs="Times New Roman"/>
        </w:rPr>
        <w:t xml:space="preserve"> </w:t>
      </w:r>
      <w:r w:rsidR="008C7F6E" w:rsidRPr="005310A7">
        <w:rPr>
          <w:rFonts w:cs="Times New Roman"/>
        </w:rPr>
        <w:t>Review</w:t>
      </w:r>
      <w:r w:rsidRPr="005310A7">
        <w:rPr>
          <w:rFonts w:cs="Times New Roman"/>
        </w:rPr>
        <w:t xml:space="preserve"> of Cheng &amp; </w:t>
      </w:r>
      <w:r w:rsidRPr="007059C9">
        <w:t xml:space="preserve">Hoekstra </w:t>
      </w:r>
      <w:r w:rsidR="00242E2F">
        <w:t xml:space="preserve">2012 </w:t>
      </w:r>
      <w:r w:rsidRPr="007059C9">
        <w:t>Castle Doctrine</w:t>
      </w:r>
      <w:r w:rsidR="00242E2F">
        <w:t xml:space="preserve"> working paper</w:t>
      </w:r>
    </w:p>
    <w:p w14:paraId="1CF74F6D" w14:textId="14F11661" w:rsidR="00825877" w:rsidRDefault="00452B9B" w:rsidP="00D5582C">
      <w:pPr>
        <w:pStyle w:val="ListParagraph"/>
        <w:widowControl w:val="0"/>
        <w:numPr>
          <w:ilvl w:val="0"/>
          <w:numId w:val="7"/>
        </w:numPr>
        <w:autoSpaceDE w:val="0"/>
        <w:autoSpaceDN w:val="0"/>
        <w:adjustRightInd w:val="0"/>
      </w:pPr>
      <w:r w:rsidRPr="00337E6D">
        <w:rPr>
          <w:b/>
        </w:rPr>
        <w:t>February 18, 2 p.m.</w:t>
      </w:r>
      <w:r w:rsidR="00825877">
        <w:t xml:space="preserve"> – Assignment 2</w:t>
      </w:r>
      <w:r>
        <w:t xml:space="preserve"> – TBA </w:t>
      </w:r>
    </w:p>
    <w:p w14:paraId="25B35367" w14:textId="02BA55DC" w:rsidR="00825877" w:rsidRDefault="00452B9B" w:rsidP="00D5582C">
      <w:pPr>
        <w:pStyle w:val="ListParagraph"/>
        <w:widowControl w:val="0"/>
        <w:numPr>
          <w:ilvl w:val="0"/>
          <w:numId w:val="7"/>
        </w:numPr>
        <w:autoSpaceDE w:val="0"/>
        <w:autoSpaceDN w:val="0"/>
        <w:adjustRightInd w:val="0"/>
      </w:pPr>
      <w:r w:rsidRPr="00337E6D">
        <w:rPr>
          <w:b/>
        </w:rPr>
        <w:t>Feb 25 or March 4 or March 18 or March 25</w:t>
      </w:r>
      <w:r w:rsidR="00337E6D" w:rsidRPr="00337E6D">
        <w:rPr>
          <w:b/>
        </w:rPr>
        <w:t xml:space="preserve"> (2 p.m.)</w:t>
      </w:r>
      <w:r w:rsidR="00825877">
        <w:t xml:space="preserve"> – Assignment 3</w:t>
      </w:r>
    </w:p>
    <w:p w14:paraId="4C38E477" w14:textId="385D21F9" w:rsidR="00452B9B" w:rsidRDefault="00452B9B" w:rsidP="00452B9B">
      <w:pPr>
        <w:pStyle w:val="ListParagraph"/>
        <w:widowControl w:val="0"/>
        <w:numPr>
          <w:ilvl w:val="1"/>
          <w:numId w:val="7"/>
        </w:numPr>
        <w:autoSpaceDE w:val="0"/>
        <w:autoSpaceDN w:val="0"/>
        <w:adjustRightInd w:val="0"/>
      </w:pPr>
      <w:r>
        <w:t>Brief presentation and written critiq</w:t>
      </w:r>
      <w:r w:rsidR="00337E6D">
        <w:t xml:space="preserve">ue of one empirical article </w:t>
      </w:r>
    </w:p>
    <w:p w14:paraId="61348EF4" w14:textId="718E7F66" w:rsidR="00337E6D" w:rsidRDefault="00337E6D" w:rsidP="00452B9B">
      <w:pPr>
        <w:pStyle w:val="ListParagraph"/>
        <w:widowControl w:val="0"/>
        <w:numPr>
          <w:ilvl w:val="1"/>
          <w:numId w:val="7"/>
        </w:numPr>
        <w:autoSpaceDE w:val="0"/>
        <w:autoSpaceDN w:val="0"/>
        <w:adjustRightInd w:val="0"/>
      </w:pPr>
      <w:r>
        <w:t>Choose one from the “Applications” section for that day’s assigned reading</w:t>
      </w:r>
    </w:p>
    <w:p w14:paraId="417C7851" w14:textId="461013F8" w:rsidR="00337E6D" w:rsidRDefault="00337E6D" w:rsidP="00452B9B">
      <w:pPr>
        <w:pStyle w:val="ListParagraph"/>
        <w:widowControl w:val="0"/>
        <w:numPr>
          <w:ilvl w:val="1"/>
          <w:numId w:val="7"/>
        </w:numPr>
        <w:autoSpaceDE w:val="0"/>
        <w:autoSpaceDN w:val="0"/>
        <w:adjustRightInd w:val="0"/>
      </w:pPr>
      <w:r>
        <w:t>Sign up for a day and a paper on the Sakai site, under Wiki, “Applications Paper Presentations”</w:t>
      </w:r>
    </w:p>
    <w:p w14:paraId="749AFFC1" w14:textId="61F667FF" w:rsidR="00A40D59" w:rsidRDefault="00825877" w:rsidP="00D5582C">
      <w:pPr>
        <w:pStyle w:val="ListParagraph"/>
        <w:widowControl w:val="0"/>
        <w:numPr>
          <w:ilvl w:val="0"/>
          <w:numId w:val="7"/>
        </w:numPr>
        <w:autoSpaceDE w:val="0"/>
        <w:autoSpaceDN w:val="0"/>
        <w:adjustRightInd w:val="0"/>
      </w:pPr>
      <w:r w:rsidRPr="00B53490">
        <w:rPr>
          <w:b/>
        </w:rPr>
        <w:t>April 8</w:t>
      </w:r>
      <w:r w:rsidR="005310A7" w:rsidRPr="00B53490">
        <w:rPr>
          <w:b/>
        </w:rPr>
        <w:t xml:space="preserve"> / April 12 / </w:t>
      </w:r>
      <w:r w:rsidR="00A40D59" w:rsidRPr="00B53490">
        <w:rPr>
          <w:b/>
        </w:rPr>
        <w:t>April 15</w:t>
      </w:r>
      <w:r>
        <w:t xml:space="preserve"> – presentation</w:t>
      </w:r>
      <w:r w:rsidR="005310A7">
        <w:t xml:space="preserve"> days</w:t>
      </w:r>
    </w:p>
    <w:p w14:paraId="6D4D6273" w14:textId="5A048658" w:rsidR="00825877" w:rsidRDefault="00A40D59" w:rsidP="00D5582C">
      <w:pPr>
        <w:pStyle w:val="ListParagraph"/>
        <w:widowControl w:val="0"/>
        <w:numPr>
          <w:ilvl w:val="1"/>
          <w:numId w:val="7"/>
        </w:numPr>
        <w:autoSpaceDE w:val="0"/>
        <w:autoSpaceDN w:val="0"/>
        <w:adjustRightInd w:val="0"/>
      </w:pPr>
      <w:r>
        <w:t>Each student will deliver a 15-minute oral presentation on their research proposal</w:t>
      </w:r>
      <w:r w:rsidR="00825877">
        <w:t xml:space="preserve"> </w:t>
      </w:r>
      <w:r w:rsidR="00242E2F">
        <w:t>paper</w:t>
      </w:r>
    </w:p>
    <w:p w14:paraId="3224538E" w14:textId="7C64CA29" w:rsidR="007C10A1" w:rsidRDefault="007C10A1" w:rsidP="00D5582C">
      <w:pPr>
        <w:pStyle w:val="ListParagraph"/>
        <w:widowControl w:val="0"/>
        <w:numPr>
          <w:ilvl w:val="1"/>
          <w:numId w:val="7"/>
        </w:numPr>
        <w:autoSpaceDE w:val="0"/>
        <w:autoSpaceDN w:val="0"/>
        <w:adjustRightInd w:val="0"/>
      </w:pPr>
      <w:r>
        <w:t>Each student will deliver a 10-minute constructive critique and discussion of anoth</w:t>
      </w:r>
      <w:r w:rsidR="005310A7">
        <w:t>er student’s research proposal (Assignment 4)</w:t>
      </w:r>
    </w:p>
    <w:p w14:paraId="5749366C" w14:textId="739B6F4A" w:rsidR="007C10A1" w:rsidRDefault="005310A7" w:rsidP="00D5582C">
      <w:pPr>
        <w:pStyle w:val="ListParagraph"/>
        <w:widowControl w:val="0"/>
        <w:numPr>
          <w:ilvl w:val="1"/>
          <w:numId w:val="7"/>
        </w:numPr>
        <w:autoSpaceDE w:val="0"/>
        <w:autoSpaceDN w:val="0"/>
        <w:adjustRightInd w:val="0"/>
        <w:rPr>
          <w:b/>
          <w:u w:val="single"/>
        </w:rPr>
      </w:pPr>
      <w:r w:rsidRPr="00242E2F">
        <w:rPr>
          <w:b/>
          <w:u w:val="single"/>
        </w:rPr>
        <w:t xml:space="preserve">Note: to allow every student to present and discuss one paper, we must schedule </w:t>
      </w:r>
      <w:r w:rsidR="007C10A1" w:rsidRPr="00242E2F">
        <w:rPr>
          <w:b/>
          <w:u w:val="single"/>
        </w:rPr>
        <w:t>an extra class perio</w:t>
      </w:r>
      <w:r w:rsidR="008C7F6E" w:rsidRPr="00242E2F">
        <w:rPr>
          <w:b/>
          <w:u w:val="single"/>
        </w:rPr>
        <w:t>d on April 12, 2:00-4:50 pm</w:t>
      </w:r>
      <w:r w:rsidRPr="00242E2F">
        <w:rPr>
          <w:b/>
          <w:u w:val="single"/>
        </w:rPr>
        <w:t xml:space="preserve">. </w:t>
      </w:r>
    </w:p>
    <w:p w14:paraId="41AC73D7" w14:textId="699F88C9" w:rsidR="00242E2F" w:rsidRPr="004967E1" w:rsidRDefault="004967E1" w:rsidP="00D5582C">
      <w:pPr>
        <w:pStyle w:val="ListParagraph"/>
        <w:widowControl w:val="0"/>
        <w:numPr>
          <w:ilvl w:val="0"/>
          <w:numId w:val="7"/>
        </w:numPr>
        <w:autoSpaceDE w:val="0"/>
        <w:autoSpaceDN w:val="0"/>
        <w:adjustRightInd w:val="0"/>
        <w:rPr>
          <w:b/>
          <w:u w:val="single"/>
        </w:rPr>
      </w:pPr>
      <w:r w:rsidRPr="00B53490">
        <w:rPr>
          <w:b/>
        </w:rPr>
        <w:t>April 24, 5 p.m.</w:t>
      </w:r>
      <w:r>
        <w:t xml:space="preserve"> – quantitative research design paper</w:t>
      </w:r>
      <w:r w:rsidR="00BA2070">
        <w:t xml:space="preserve"> (15-20 pages double spaced, Times New Roman, 12 point font, 1 inch margins, not including references, tables and figures)</w:t>
      </w:r>
    </w:p>
    <w:p w14:paraId="7A3C9835" w14:textId="2840423A" w:rsidR="004967E1" w:rsidRPr="004967E1" w:rsidRDefault="004967E1" w:rsidP="00D5582C">
      <w:pPr>
        <w:pStyle w:val="ListParagraph"/>
        <w:widowControl w:val="0"/>
        <w:numPr>
          <w:ilvl w:val="1"/>
          <w:numId w:val="7"/>
        </w:numPr>
        <w:autoSpaceDE w:val="0"/>
        <w:autoSpaceDN w:val="0"/>
        <w:adjustRightInd w:val="0"/>
        <w:rPr>
          <w:b/>
          <w:u w:val="single"/>
        </w:rPr>
      </w:pPr>
      <w:r>
        <w:t>Paper will consist of the following sections</w:t>
      </w:r>
    </w:p>
    <w:p w14:paraId="4439625E" w14:textId="507736E4" w:rsidR="004967E1" w:rsidRPr="004967E1" w:rsidRDefault="004967E1" w:rsidP="00D5582C">
      <w:pPr>
        <w:pStyle w:val="ListParagraph"/>
        <w:widowControl w:val="0"/>
        <w:numPr>
          <w:ilvl w:val="2"/>
          <w:numId w:val="7"/>
        </w:numPr>
        <w:autoSpaceDE w:val="0"/>
        <w:autoSpaceDN w:val="0"/>
        <w:adjustRightInd w:val="0"/>
        <w:rPr>
          <w:b/>
          <w:u w:val="single"/>
        </w:rPr>
      </w:pPr>
      <w:r>
        <w:t>Introduction framing research question and its significance</w:t>
      </w:r>
    </w:p>
    <w:p w14:paraId="0881B22E" w14:textId="183A2381" w:rsidR="004967E1" w:rsidRPr="004967E1" w:rsidRDefault="004967E1" w:rsidP="00D5582C">
      <w:pPr>
        <w:pStyle w:val="ListParagraph"/>
        <w:widowControl w:val="0"/>
        <w:numPr>
          <w:ilvl w:val="2"/>
          <w:numId w:val="7"/>
        </w:numPr>
        <w:autoSpaceDE w:val="0"/>
        <w:autoSpaceDN w:val="0"/>
        <w:adjustRightInd w:val="0"/>
        <w:rPr>
          <w:b/>
          <w:u w:val="single"/>
        </w:rPr>
      </w:pPr>
      <w:r>
        <w:t>Literature review</w:t>
      </w:r>
    </w:p>
    <w:p w14:paraId="729D5105" w14:textId="498B0EAF" w:rsidR="004967E1" w:rsidRPr="004967E1" w:rsidRDefault="004967E1" w:rsidP="00D5582C">
      <w:pPr>
        <w:pStyle w:val="ListParagraph"/>
        <w:widowControl w:val="0"/>
        <w:numPr>
          <w:ilvl w:val="2"/>
          <w:numId w:val="7"/>
        </w:numPr>
        <w:autoSpaceDE w:val="0"/>
        <w:autoSpaceDN w:val="0"/>
        <w:adjustRightInd w:val="0"/>
        <w:rPr>
          <w:b/>
          <w:u w:val="single"/>
        </w:rPr>
      </w:pPr>
      <w:r>
        <w:t>Research question(s) and hypotheses</w:t>
      </w:r>
    </w:p>
    <w:p w14:paraId="0970DAEB" w14:textId="21453AEB" w:rsidR="004967E1" w:rsidRPr="004967E1" w:rsidRDefault="004967E1" w:rsidP="00D5582C">
      <w:pPr>
        <w:pStyle w:val="ListParagraph"/>
        <w:widowControl w:val="0"/>
        <w:numPr>
          <w:ilvl w:val="2"/>
          <w:numId w:val="7"/>
        </w:numPr>
        <w:autoSpaceDE w:val="0"/>
        <w:autoSpaceDN w:val="0"/>
        <w:adjustRightInd w:val="0"/>
        <w:rPr>
          <w:b/>
          <w:u w:val="single"/>
        </w:rPr>
      </w:pPr>
      <w:r>
        <w:t>Data</w:t>
      </w:r>
    </w:p>
    <w:p w14:paraId="1E632A1F" w14:textId="61193441" w:rsidR="004967E1" w:rsidRPr="004967E1" w:rsidRDefault="004967E1" w:rsidP="00D5582C">
      <w:pPr>
        <w:pStyle w:val="ListParagraph"/>
        <w:widowControl w:val="0"/>
        <w:numPr>
          <w:ilvl w:val="2"/>
          <w:numId w:val="7"/>
        </w:numPr>
        <w:autoSpaceDE w:val="0"/>
        <w:autoSpaceDN w:val="0"/>
        <w:adjustRightInd w:val="0"/>
        <w:rPr>
          <w:b/>
          <w:u w:val="single"/>
        </w:rPr>
      </w:pPr>
      <w:r>
        <w:t>Research design</w:t>
      </w:r>
    </w:p>
    <w:p w14:paraId="76BF3AF2" w14:textId="6752F996" w:rsidR="004967E1" w:rsidRPr="004967E1" w:rsidRDefault="004967E1" w:rsidP="00D5582C">
      <w:pPr>
        <w:pStyle w:val="ListParagraph"/>
        <w:widowControl w:val="0"/>
        <w:numPr>
          <w:ilvl w:val="2"/>
          <w:numId w:val="7"/>
        </w:numPr>
        <w:autoSpaceDE w:val="0"/>
        <w:autoSpaceDN w:val="0"/>
        <w:adjustRightInd w:val="0"/>
        <w:rPr>
          <w:b/>
          <w:u w:val="single"/>
        </w:rPr>
      </w:pPr>
      <w:r>
        <w:t>Analysis methods</w:t>
      </w:r>
    </w:p>
    <w:p w14:paraId="70DF6354" w14:textId="24DB0422" w:rsidR="004967E1" w:rsidRPr="004967E1" w:rsidRDefault="004967E1" w:rsidP="00D5582C">
      <w:pPr>
        <w:pStyle w:val="ListParagraph"/>
        <w:widowControl w:val="0"/>
        <w:numPr>
          <w:ilvl w:val="2"/>
          <w:numId w:val="7"/>
        </w:numPr>
        <w:autoSpaceDE w:val="0"/>
        <w:autoSpaceDN w:val="0"/>
        <w:adjustRightInd w:val="0"/>
        <w:rPr>
          <w:b/>
          <w:u w:val="single"/>
        </w:rPr>
      </w:pPr>
      <w:r>
        <w:t>Preliminary results (optional)</w:t>
      </w:r>
    </w:p>
    <w:p w14:paraId="44F27764" w14:textId="013A46CD" w:rsidR="004967E1" w:rsidRPr="004967E1" w:rsidRDefault="004967E1" w:rsidP="00D5582C">
      <w:pPr>
        <w:pStyle w:val="ListParagraph"/>
        <w:widowControl w:val="0"/>
        <w:numPr>
          <w:ilvl w:val="2"/>
          <w:numId w:val="7"/>
        </w:numPr>
        <w:autoSpaceDE w:val="0"/>
        <w:autoSpaceDN w:val="0"/>
        <w:adjustRightInd w:val="0"/>
        <w:rPr>
          <w:b/>
          <w:u w:val="single"/>
        </w:rPr>
      </w:pPr>
      <w:r>
        <w:t>Discussion of results (optional)</w:t>
      </w:r>
    </w:p>
    <w:p w14:paraId="5087F8E4" w14:textId="77777777" w:rsidR="008C7F6E" w:rsidRPr="007059C9" w:rsidRDefault="008C7F6E" w:rsidP="00D5582C">
      <w:pPr>
        <w:widowControl w:val="0"/>
        <w:autoSpaceDE w:val="0"/>
        <w:autoSpaceDN w:val="0"/>
        <w:adjustRightInd w:val="0"/>
        <w:rPr>
          <w:rFonts w:cs="Times New Roman"/>
        </w:rPr>
      </w:pPr>
    </w:p>
    <w:p w14:paraId="24C787D6" w14:textId="77777777" w:rsidR="00B53490" w:rsidRDefault="000C7520" w:rsidP="00D5582C">
      <w:pPr>
        <w:widowControl w:val="0"/>
        <w:autoSpaceDE w:val="0"/>
        <w:autoSpaceDN w:val="0"/>
        <w:adjustRightInd w:val="0"/>
        <w:rPr>
          <w:rFonts w:cs="Times New Roman"/>
        </w:rPr>
      </w:pPr>
      <w:r w:rsidRPr="00B53490">
        <w:rPr>
          <w:rFonts w:cs="Times New Roman"/>
          <w:b/>
        </w:rPr>
        <w:t>Grading</w:t>
      </w:r>
    </w:p>
    <w:p w14:paraId="67FB47DE" w14:textId="15B2DCA9" w:rsidR="000C7520" w:rsidRDefault="000C2A12" w:rsidP="00D5582C">
      <w:pPr>
        <w:widowControl w:val="0"/>
        <w:autoSpaceDE w:val="0"/>
        <w:autoSpaceDN w:val="0"/>
        <w:adjustRightInd w:val="0"/>
        <w:rPr>
          <w:rFonts w:cs="Times New Roman"/>
        </w:rPr>
      </w:pPr>
      <w:r>
        <w:rPr>
          <w:rFonts w:cs="Times New Roman"/>
        </w:rPr>
        <w:t>Graduate student grades at UNC are assigned as follows: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
        <w:gridCol w:w="4228"/>
      </w:tblGrid>
      <w:tr w:rsidR="005310A7" w:rsidRPr="005310A7" w14:paraId="2973C298" w14:textId="77777777" w:rsidTr="005310A7">
        <w:trPr>
          <w:tblCellSpacing w:w="15" w:type="dxa"/>
        </w:trPr>
        <w:tc>
          <w:tcPr>
            <w:tcW w:w="0" w:type="auto"/>
            <w:vAlign w:val="center"/>
            <w:hideMark/>
          </w:tcPr>
          <w:p w14:paraId="17D983BF" w14:textId="77777777" w:rsidR="005310A7" w:rsidRPr="00D5582C" w:rsidRDefault="005310A7" w:rsidP="00D5582C">
            <w:pPr>
              <w:rPr>
                <w:rFonts w:eastAsia="Times New Roman" w:cs="Times New Roman"/>
                <w:szCs w:val="20"/>
              </w:rPr>
            </w:pPr>
            <w:r w:rsidRPr="00D5582C">
              <w:rPr>
                <w:rFonts w:eastAsia="Times New Roman" w:cs="Times New Roman"/>
                <w:b/>
                <w:bCs/>
                <w:szCs w:val="20"/>
              </w:rPr>
              <w:t>H</w:t>
            </w:r>
          </w:p>
        </w:tc>
        <w:tc>
          <w:tcPr>
            <w:tcW w:w="0" w:type="auto"/>
            <w:vAlign w:val="center"/>
            <w:hideMark/>
          </w:tcPr>
          <w:p w14:paraId="0E9FF481" w14:textId="77777777" w:rsidR="005310A7" w:rsidRPr="00D5582C" w:rsidRDefault="005310A7" w:rsidP="00D5582C">
            <w:pPr>
              <w:rPr>
                <w:rFonts w:eastAsia="Times New Roman" w:cs="Times New Roman"/>
                <w:szCs w:val="20"/>
              </w:rPr>
            </w:pPr>
            <w:r w:rsidRPr="00D5582C">
              <w:rPr>
                <w:rFonts w:eastAsia="Times New Roman" w:cs="Times New Roman"/>
                <w:szCs w:val="20"/>
              </w:rPr>
              <w:t>High Pass - Clear Excellence</w:t>
            </w:r>
          </w:p>
        </w:tc>
      </w:tr>
      <w:tr w:rsidR="005310A7" w:rsidRPr="005310A7" w14:paraId="77519D85" w14:textId="77777777" w:rsidTr="005310A7">
        <w:trPr>
          <w:tblCellSpacing w:w="15" w:type="dxa"/>
        </w:trPr>
        <w:tc>
          <w:tcPr>
            <w:tcW w:w="0" w:type="auto"/>
            <w:vAlign w:val="center"/>
            <w:hideMark/>
          </w:tcPr>
          <w:p w14:paraId="58FD10DE" w14:textId="77777777" w:rsidR="005310A7" w:rsidRPr="00D5582C" w:rsidRDefault="005310A7" w:rsidP="00D5582C">
            <w:pPr>
              <w:rPr>
                <w:rFonts w:eastAsia="Times New Roman" w:cs="Times New Roman"/>
                <w:szCs w:val="20"/>
              </w:rPr>
            </w:pPr>
            <w:r w:rsidRPr="00D5582C">
              <w:rPr>
                <w:rFonts w:eastAsia="Times New Roman" w:cs="Times New Roman"/>
                <w:b/>
                <w:bCs/>
                <w:szCs w:val="20"/>
              </w:rPr>
              <w:t>P</w:t>
            </w:r>
          </w:p>
        </w:tc>
        <w:tc>
          <w:tcPr>
            <w:tcW w:w="0" w:type="auto"/>
            <w:vAlign w:val="center"/>
            <w:hideMark/>
          </w:tcPr>
          <w:p w14:paraId="7F7CF1B5" w14:textId="77777777" w:rsidR="005310A7" w:rsidRPr="00D5582C" w:rsidRDefault="005310A7" w:rsidP="00D5582C">
            <w:pPr>
              <w:rPr>
                <w:rFonts w:eastAsia="Times New Roman" w:cs="Times New Roman"/>
                <w:szCs w:val="20"/>
              </w:rPr>
            </w:pPr>
            <w:r w:rsidRPr="00D5582C">
              <w:rPr>
                <w:rFonts w:eastAsia="Times New Roman" w:cs="Times New Roman"/>
                <w:szCs w:val="20"/>
              </w:rPr>
              <w:t>Pass - Entirely Satisfactory Graduate Work</w:t>
            </w:r>
          </w:p>
        </w:tc>
      </w:tr>
      <w:tr w:rsidR="005310A7" w:rsidRPr="005310A7" w14:paraId="4AB4C460" w14:textId="77777777" w:rsidTr="005310A7">
        <w:trPr>
          <w:tblCellSpacing w:w="15" w:type="dxa"/>
        </w:trPr>
        <w:tc>
          <w:tcPr>
            <w:tcW w:w="0" w:type="auto"/>
            <w:vAlign w:val="center"/>
            <w:hideMark/>
          </w:tcPr>
          <w:p w14:paraId="1114DF65" w14:textId="77777777" w:rsidR="005310A7" w:rsidRPr="00D5582C" w:rsidRDefault="005310A7" w:rsidP="00D5582C">
            <w:pPr>
              <w:rPr>
                <w:rFonts w:eastAsia="Times New Roman" w:cs="Times New Roman"/>
                <w:szCs w:val="20"/>
              </w:rPr>
            </w:pPr>
            <w:r w:rsidRPr="00D5582C">
              <w:rPr>
                <w:rFonts w:eastAsia="Times New Roman" w:cs="Times New Roman"/>
                <w:b/>
                <w:bCs/>
                <w:szCs w:val="20"/>
              </w:rPr>
              <w:t>L</w:t>
            </w:r>
          </w:p>
        </w:tc>
        <w:tc>
          <w:tcPr>
            <w:tcW w:w="0" w:type="auto"/>
            <w:vAlign w:val="center"/>
            <w:hideMark/>
          </w:tcPr>
          <w:p w14:paraId="68CAE4B4" w14:textId="77777777" w:rsidR="005310A7" w:rsidRPr="00D5582C" w:rsidRDefault="005310A7" w:rsidP="00D5582C">
            <w:pPr>
              <w:rPr>
                <w:rFonts w:eastAsia="Times New Roman" w:cs="Times New Roman"/>
                <w:szCs w:val="20"/>
              </w:rPr>
            </w:pPr>
            <w:r w:rsidRPr="00D5582C">
              <w:rPr>
                <w:rFonts w:eastAsia="Times New Roman" w:cs="Times New Roman"/>
                <w:szCs w:val="20"/>
              </w:rPr>
              <w:t>Low Pass - Inadequate Graduate Work</w:t>
            </w:r>
          </w:p>
        </w:tc>
      </w:tr>
      <w:tr w:rsidR="005310A7" w:rsidRPr="005310A7" w14:paraId="0AF176A2" w14:textId="77777777" w:rsidTr="005310A7">
        <w:trPr>
          <w:tblCellSpacing w:w="15" w:type="dxa"/>
        </w:trPr>
        <w:tc>
          <w:tcPr>
            <w:tcW w:w="0" w:type="auto"/>
            <w:vAlign w:val="center"/>
            <w:hideMark/>
          </w:tcPr>
          <w:p w14:paraId="13DE81CD" w14:textId="77777777" w:rsidR="005310A7" w:rsidRPr="00D5582C" w:rsidRDefault="005310A7" w:rsidP="00D5582C">
            <w:pPr>
              <w:rPr>
                <w:rFonts w:eastAsia="Times New Roman" w:cs="Times New Roman"/>
                <w:szCs w:val="20"/>
              </w:rPr>
            </w:pPr>
            <w:r w:rsidRPr="00D5582C">
              <w:rPr>
                <w:rFonts w:eastAsia="Times New Roman" w:cs="Times New Roman"/>
                <w:b/>
                <w:bCs/>
                <w:szCs w:val="20"/>
              </w:rPr>
              <w:t>F</w:t>
            </w:r>
          </w:p>
        </w:tc>
        <w:tc>
          <w:tcPr>
            <w:tcW w:w="0" w:type="auto"/>
            <w:vAlign w:val="center"/>
            <w:hideMark/>
          </w:tcPr>
          <w:p w14:paraId="5A2650AA" w14:textId="77777777" w:rsidR="005310A7" w:rsidRPr="00D5582C" w:rsidRDefault="005310A7" w:rsidP="00D5582C">
            <w:pPr>
              <w:rPr>
                <w:rFonts w:eastAsia="Times New Roman" w:cs="Times New Roman"/>
                <w:szCs w:val="20"/>
              </w:rPr>
            </w:pPr>
            <w:r w:rsidRPr="00D5582C">
              <w:rPr>
                <w:rFonts w:eastAsia="Times New Roman" w:cs="Times New Roman"/>
                <w:szCs w:val="20"/>
              </w:rPr>
              <w:t>Fail</w:t>
            </w:r>
          </w:p>
        </w:tc>
      </w:tr>
    </w:tbl>
    <w:p w14:paraId="7E4E4095" w14:textId="77777777" w:rsidR="00D5582C" w:rsidRDefault="00D5582C" w:rsidP="00D5582C">
      <w:pPr>
        <w:widowControl w:val="0"/>
        <w:autoSpaceDE w:val="0"/>
        <w:autoSpaceDN w:val="0"/>
        <w:adjustRightInd w:val="0"/>
        <w:rPr>
          <w:rFonts w:cs="Times New Roman"/>
        </w:rPr>
      </w:pPr>
    </w:p>
    <w:p w14:paraId="42851787" w14:textId="638B5F5C" w:rsidR="000C2A12" w:rsidRDefault="000C2A12" w:rsidP="00D5582C">
      <w:pPr>
        <w:widowControl w:val="0"/>
        <w:autoSpaceDE w:val="0"/>
        <w:autoSpaceDN w:val="0"/>
        <w:adjustRightInd w:val="0"/>
        <w:rPr>
          <w:rFonts w:cs="Times New Roman"/>
        </w:rPr>
      </w:pPr>
      <w:r>
        <w:rPr>
          <w:rFonts w:cs="Times New Roman"/>
        </w:rPr>
        <w:t>All assignments will be graded on a four point scale: 1 (fail), 2 (low pass), 3 (pass), 4 (high pass). Scores will be weighted and averaged to create a final grade composite</w:t>
      </w:r>
      <w:r w:rsidR="00A734F7">
        <w:rPr>
          <w:rFonts w:cs="Times New Roman"/>
        </w:rPr>
        <w:t xml:space="preserve"> score</w:t>
      </w:r>
      <w:r>
        <w:rPr>
          <w:rFonts w:cs="Times New Roman"/>
        </w:rPr>
        <w:t>. Final grades will be awarded based on the following translation of points to grades:</w:t>
      </w:r>
    </w:p>
    <w:p w14:paraId="4967DB66" w14:textId="77777777" w:rsidR="00D5582C" w:rsidRDefault="00D5582C" w:rsidP="00D5582C">
      <w:pPr>
        <w:widowControl w:val="0"/>
        <w:autoSpaceDE w:val="0"/>
        <w:autoSpaceDN w:val="0"/>
        <w:adjustRightInd w:val="0"/>
        <w:rPr>
          <w:rFonts w:cs="Times New Roman"/>
        </w:rPr>
      </w:pPr>
    </w:p>
    <w:p w14:paraId="06E469E4" w14:textId="7180B1A4" w:rsidR="000C2A12" w:rsidRDefault="00D5582C" w:rsidP="00D5582C">
      <w:pPr>
        <w:widowControl w:val="0"/>
        <w:autoSpaceDE w:val="0"/>
        <w:autoSpaceDN w:val="0"/>
        <w:adjustRightInd w:val="0"/>
        <w:rPr>
          <w:rFonts w:cs="Times New Roman"/>
        </w:rPr>
      </w:pPr>
      <w:r w:rsidRPr="00D5582C">
        <w:rPr>
          <w:rFonts w:cs="Times New Roman"/>
          <w:b/>
        </w:rPr>
        <w:t>H</w:t>
      </w:r>
      <w:r>
        <w:rPr>
          <w:rFonts w:cs="Times New Roman"/>
        </w:rPr>
        <w:t xml:space="preserve">   </w:t>
      </w:r>
      <w:r w:rsidR="00A734F7">
        <w:rPr>
          <w:rFonts w:cs="Times New Roman"/>
        </w:rPr>
        <w:t>3.50-4</w:t>
      </w:r>
      <w:r>
        <w:rPr>
          <w:rFonts w:cs="Times New Roman"/>
        </w:rPr>
        <w:t xml:space="preserve">.00 </w:t>
      </w:r>
    </w:p>
    <w:p w14:paraId="039D4000" w14:textId="712BDAC9" w:rsidR="00A734F7" w:rsidRDefault="00D5582C" w:rsidP="00D5582C">
      <w:pPr>
        <w:widowControl w:val="0"/>
        <w:autoSpaceDE w:val="0"/>
        <w:autoSpaceDN w:val="0"/>
        <w:adjustRightInd w:val="0"/>
        <w:rPr>
          <w:rFonts w:cs="Times New Roman"/>
        </w:rPr>
      </w:pPr>
      <w:r w:rsidRPr="00D5582C">
        <w:rPr>
          <w:rFonts w:cs="Times New Roman"/>
          <w:b/>
        </w:rPr>
        <w:t>P</w:t>
      </w:r>
      <w:r>
        <w:rPr>
          <w:rFonts w:cs="Times New Roman"/>
        </w:rPr>
        <w:t xml:space="preserve">   </w:t>
      </w:r>
      <w:r w:rsidR="00A734F7">
        <w:rPr>
          <w:rFonts w:cs="Times New Roman"/>
        </w:rPr>
        <w:t xml:space="preserve">2.50-3.49 </w:t>
      </w:r>
    </w:p>
    <w:p w14:paraId="42ACE40A" w14:textId="3A7534C0" w:rsidR="00A734F7" w:rsidRDefault="00D5582C" w:rsidP="00D5582C">
      <w:pPr>
        <w:widowControl w:val="0"/>
        <w:autoSpaceDE w:val="0"/>
        <w:autoSpaceDN w:val="0"/>
        <w:adjustRightInd w:val="0"/>
        <w:rPr>
          <w:rFonts w:cs="Times New Roman"/>
        </w:rPr>
      </w:pPr>
      <w:r w:rsidRPr="00D5582C">
        <w:rPr>
          <w:rFonts w:cs="Times New Roman"/>
          <w:b/>
        </w:rPr>
        <w:t>L</w:t>
      </w:r>
      <w:r>
        <w:rPr>
          <w:rFonts w:cs="Times New Roman"/>
        </w:rPr>
        <w:t xml:space="preserve">   </w:t>
      </w:r>
      <w:r w:rsidR="00A734F7">
        <w:rPr>
          <w:rFonts w:cs="Times New Roman"/>
        </w:rPr>
        <w:t xml:space="preserve">1.50-2.49 </w:t>
      </w:r>
    </w:p>
    <w:p w14:paraId="2CBD9430" w14:textId="3D757A99" w:rsidR="00A734F7" w:rsidRDefault="00D5582C" w:rsidP="00D5582C">
      <w:pPr>
        <w:widowControl w:val="0"/>
        <w:autoSpaceDE w:val="0"/>
        <w:autoSpaceDN w:val="0"/>
        <w:adjustRightInd w:val="0"/>
        <w:rPr>
          <w:rFonts w:cs="Times New Roman"/>
        </w:rPr>
      </w:pPr>
      <w:r w:rsidRPr="00D5582C">
        <w:rPr>
          <w:rFonts w:cs="Times New Roman"/>
          <w:b/>
        </w:rPr>
        <w:t>F</w:t>
      </w:r>
      <w:r>
        <w:rPr>
          <w:rFonts w:cs="Times New Roman"/>
        </w:rPr>
        <w:t xml:space="preserve">   </w:t>
      </w:r>
      <w:r w:rsidR="00A734F7">
        <w:rPr>
          <w:rFonts w:cs="Times New Roman"/>
        </w:rPr>
        <w:t>1.0</w:t>
      </w:r>
      <w:r>
        <w:rPr>
          <w:rFonts w:cs="Times New Roman"/>
        </w:rPr>
        <w:t>0</w:t>
      </w:r>
      <w:r w:rsidR="00A734F7">
        <w:rPr>
          <w:rFonts w:cs="Times New Roman"/>
        </w:rPr>
        <w:t xml:space="preserve">-1.49 </w:t>
      </w:r>
    </w:p>
    <w:p w14:paraId="05DEA4E0" w14:textId="77777777" w:rsidR="00D5582C" w:rsidRDefault="00D5582C" w:rsidP="00D5582C">
      <w:pPr>
        <w:widowControl w:val="0"/>
        <w:autoSpaceDE w:val="0"/>
        <w:autoSpaceDN w:val="0"/>
        <w:adjustRightInd w:val="0"/>
        <w:rPr>
          <w:rFonts w:cs="Times New Roman"/>
        </w:rPr>
      </w:pPr>
    </w:p>
    <w:p w14:paraId="04D6AFB6" w14:textId="77777777" w:rsidR="000C7520" w:rsidRPr="007059C9" w:rsidRDefault="000C7520" w:rsidP="00D5582C">
      <w:pPr>
        <w:keepNext/>
        <w:outlineLvl w:val="3"/>
        <w:rPr>
          <w:rFonts w:eastAsia="Times New Roman" w:cs="Times New Roman"/>
          <w:i/>
          <w:iCs/>
          <w:color w:val="000000"/>
        </w:rPr>
      </w:pPr>
      <w:r w:rsidRPr="007059C9">
        <w:rPr>
          <w:rFonts w:eastAsia="Times New Roman" w:cs="Times New Roman"/>
          <w:b/>
          <w:bCs/>
          <w:color w:val="000000"/>
        </w:rPr>
        <w:t>Grade Appeal Policy</w:t>
      </w:r>
    </w:p>
    <w:p w14:paraId="3B1F8A45" w14:textId="022EEFD7" w:rsidR="000C7520" w:rsidRPr="007059C9" w:rsidRDefault="000C7520" w:rsidP="00D5582C">
      <w:pPr>
        <w:rPr>
          <w:rFonts w:eastAsia="Times New Roman" w:cs="Times New Roman"/>
          <w:color w:val="000000"/>
        </w:rPr>
      </w:pPr>
      <w:r w:rsidRPr="007059C9">
        <w:rPr>
          <w:rFonts w:eastAsia="Times New Roman" w:cs="Times New Roman"/>
          <w:color w:val="000000"/>
        </w:rPr>
        <w:t xml:space="preserve">I take the evaluation and grading of your work very seriously because I know that most of you take the preparation and writing of your work very seriously. If you think you deserve a higher grade on </w:t>
      </w:r>
      <w:r w:rsidR="00D5582C">
        <w:rPr>
          <w:rFonts w:eastAsia="Times New Roman" w:cs="Times New Roman"/>
          <w:color w:val="000000"/>
        </w:rPr>
        <w:t>your work,</w:t>
      </w:r>
      <w:r w:rsidRPr="007059C9">
        <w:rPr>
          <w:rFonts w:eastAsia="Times New Roman" w:cs="Times New Roman"/>
          <w:color w:val="000000"/>
        </w:rPr>
        <w:t xml:space="preserve"> you may write a letter and explain why you would like to appeal the grade.  Before making an appeal, you should review the grading criteria and grading comments and re-read your </w:t>
      </w:r>
      <w:r w:rsidR="00D5582C">
        <w:rPr>
          <w:rFonts w:eastAsia="Times New Roman" w:cs="Times New Roman"/>
          <w:color w:val="000000"/>
        </w:rPr>
        <w:t>work</w:t>
      </w:r>
      <w:r w:rsidRPr="007059C9">
        <w:rPr>
          <w:rFonts w:eastAsia="Times New Roman" w:cs="Times New Roman"/>
          <w:color w:val="000000"/>
        </w:rPr>
        <w:t xml:space="preserve"> with these in mind.  After I receive your letter</w:t>
      </w:r>
      <w:r w:rsidR="007E4E9E">
        <w:rPr>
          <w:rFonts w:eastAsia="Times New Roman" w:cs="Times New Roman"/>
          <w:color w:val="000000"/>
        </w:rPr>
        <w:t>, I will re-read your work</w:t>
      </w:r>
      <w:r w:rsidRPr="007059C9">
        <w:rPr>
          <w:rFonts w:eastAsia="Times New Roman" w:cs="Times New Roman"/>
          <w:color w:val="000000"/>
        </w:rPr>
        <w:t>.  Depending on my re-reading, your grade may stay the same, be raised, or be lowered. This system is designed to minimize frivolous grade appeals and to ensure that you have carefully examined and reflected on the quality of your work before deciding to initiate a grade appeal.</w:t>
      </w:r>
    </w:p>
    <w:p w14:paraId="1470B401" w14:textId="77777777" w:rsidR="000C7520" w:rsidRPr="007059C9" w:rsidRDefault="000C7520" w:rsidP="00D5582C">
      <w:pPr>
        <w:widowControl w:val="0"/>
        <w:autoSpaceDE w:val="0"/>
        <w:autoSpaceDN w:val="0"/>
        <w:adjustRightInd w:val="0"/>
        <w:rPr>
          <w:rFonts w:cs="Times New Roman"/>
        </w:rPr>
      </w:pPr>
    </w:p>
    <w:p w14:paraId="13CA1CC0" w14:textId="77777777" w:rsidR="000C7520" w:rsidRPr="007059C9" w:rsidRDefault="000C7520" w:rsidP="00D5582C">
      <w:pPr>
        <w:rPr>
          <w:rFonts w:eastAsia="Times New Roman" w:cs="Times New Roman"/>
          <w:color w:val="000000"/>
        </w:rPr>
      </w:pPr>
      <w:r w:rsidRPr="007059C9">
        <w:rPr>
          <w:rFonts w:eastAsia="Times New Roman" w:cs="Times New Roman"/>
          <w:b/>
          <w:bCs/>
          <w:color w:val="000000"/>
        </w:rPr>
        <w:t>Late Assignments and Extensions</w:t>
      </w:r>
    </w:p>
    <w:p w14:paraId="13BE8EA1" w14:textId="3003775B" w:rsidR="000C7520" w:rsidRPr="007059C9" w:rsidRDefault="000C7520" w:rsidP="00D5582C">
      <w:pPr>
        <w:rPr>
          <w:rFonts w:eastAsia="Times New Roman" w:cs="Times New Roman"/>
          <w:color w:val="000000"/>
        </w:rPr>
      </w:pPr>
      <w:r w:rsidRPr="007059C9">
        <w:rPr>
          <w:rFonts w:eastAsia="Times New Roman" w:cs="Times New Roman"/>
          <w:color w:val="000000"/>
        </w:rPr>
        <w:t xml:space="preserve">Points will be subtracted from late assignments at a rate of ten percent of total point value per day. All assignments </w:t>
      </w:r>
      <w:r w:rsidR="007E4E9E">
        <w:rPr>
          <w:rFonts w:eastAsia="Times New Roman" w:cs="Times New Roman"/>
          <w:color w:val="000000"/>
        </w:rPr>
        <w:t>must be</w:t>
      </w:r>
      <w:r w:rsidR="00B53490">
        <w:rPr>
          <w:rFonts w:eastAsia="Times New Roman" w:cs="Times New Roman"/>
          <w:color w:val="000000"/>
        </w:rPr>
        <w:t xml:space="preserve"> submitted to S</w:t>
      </w:r>
      <w:r w:rsidRPr="007059C9">
        <w:rPr>
          <w:rFonts w:eastAsia="Times New Roman" w:cs="Times New Roman"/>
          <w:color w:val="000000"/>
        </w:rPr>
        <w:t>akai for a “date and time stamp</w:t>
      </w:r>
      <w:r w:rsidR="007E4E9E">
        <w:rPr>
          <w:rFonts w:eastAsia="Times New Roman" w:cs="Times New Roman"/>
          <w:color w:val="000000"/>
        </w:rPr>
        <w:t xml:space="preserve">.” </w:t>
      </w:r>
      <w:r w:rsidRPr="007059C9">
        <w:rPr>
          <w:rFonts w:eastAsia="Times New Roman" w:cs="Times New Roman"/>
          <w:color w:val="000000"/>
        </w:rPr>
        <w:t>The late assignment policy will apply to the date and time on which</w:t>
      </w:r>
      <w:r w:rsidR="00B53490">
        <w:rPr>
          <w:rFonts w:eastAsia="Times New Roman" w:cs="Times New Roman"/>
          <w:color w:val="000000"/>
        </w:rPr>
        <w:t xml:space="preserve"> an assignment was received by S</w:t>
      </w:r>
      <w:r w:rsidRPr="007059C9">
        <w:rPr>
          <w:rFonts w:eastAsia="Times New Roman" w:cs="Times New Roman"/>
          <w:color w:val="000000"/>
        </w:rPr>
        <w:t xml:space="preserve">akai. If technical problems prevent you from submitting your </w:t>
      </w:r>
      <w:r w:rsidRPr="007059C9">
        <w:rPr>
          <w:rFonts w:eastAsia="Times New Roman" w:cs="Times New Roman"/>
          <w:color w:val="000000"/>
          <w:u w:val="single"/>
        </w:rPr>
        <w:t>first</w:t>
      </w:r>
      <w:r w:rsidR="00B53490">
        <w:rPr>
          <w:rFonts w:eastAsia="Times New Roman" w:cs="Times New Roman"/>
          <w:color w:val="000000"/>
        </w:rPr>
        <w:t xml:space="preserve"> assignment to S</w:t>
      </w:r>
      <w:r w:rsidRPr="007059C9">
        <w:rPr>
          <w:rFonts w:eastAsia="Times New Roman" w:cs="Times New Roman"/>
          <w:color w:val="000000"/>
        </w:rPr>
        <w:t xml:space="preserve">akai, you will receive an automatic grace period of 24 hours provided you also submit documentation that your technical problem was genuine (e.g., a tech support “help ticket.”). No such grace periods will apply to assignments subsequent to the first. You are expected to verify that your assignments have been properly submitted. </w:t>
      </w:r>
    </w:p>
    <w:p w14:paraId="1072744F" w14:textId="77777777" w:rsidR="000C7520" w:rsidRPr="007059C9" w:rsidRDefault="000C7520" w:rsidP="00D5582C">
      <w:pPr>
        <w:rPr>
          <w:rFonts w:eastAsia="Times New Roman" w:cs="Times New Roman"/>
          <w:color w:val="000000"/>
        </w:rPr>
      </w:pPr>
    </w:p>
    <w:p w14:paraId="11E4A88F" w14:textId="1888ED8A" w:rsidR="000C7520" w:rsidRPr="007059C9" w:rsidRDefault="000C7520" w:rsidP="00C25C1B">
      <w:pPr>
        <w:rPr>
          <w:color w:val="000000"/>
        </w:rPr>
      </w:pPr>
      <w:r w:rsidRPr="007059C9">
        <w:rPr>
          <w:color w:val="000000"/>
        </w:rPr>
        <w:t>If personal or extenuating circumstances prevent you from turning in an assignment on time, please contact me as soon as possible </w:t>
      </w:r>
      <w:r w:rsidRPr="007059C9">
        <w:rPr>
          <w:i/>
          <w:iCs/>
          <w:color w:val="000000"/>
        </w:rPr>
        <w:t>in advance</w:t>
      </w:r>
      <w:r w:rsidRPr="007059C9">
        <w:rPr>
          <w:color w:val="000000"/>
        </w:rPr>
        <w:t> of the deadline. Extensions will be handled on a case-by-case basis, but job interviews, work commitments, extracurricular activities, weddings, travel plans, and academic workload issues will not be considere</w:t>
      </w:r>
      <w:r w:rsidR="007E4E9E">
        <w:rPr>
          <w:color w:val="000000"/>
        </w:rPr>
        <w:t xml:space="preserve">d valid reasons for extensions. </w:t>
      </w:r>
      <w:r w:rsidRPr="007059C9">
        <w:rPr>
          <w:color w:val="000000"/>
        </w:rPr>
        <w:t>Serious medical emergencies and other unexpected events, with documented proof, may be grounds for an extension.</w:t>
      </w:r>
    </w:p>
    <w:p w14:paraId="0C232FB9" w14:textId="77777777" w:rsidR="000C7520" w:rsidRPr="007059C9" w:rsidRDefault="000C7520" w:rsidP="00C25C1B">
      <w:pPr>
        <w:rPr>
          <w:rFonts w:eastAsia="Times New Roman" w:cs="Times New Roman"/>
          <w:color w:val="000000"/>
        </w:rPr>
      </w:pPr>
    </w:p>
    <w:p w14:paraId="3CEA8168" w14:textId="77777777" w:rsidR="000C7520" w:rsidRPr="007059C9" w:rsidRDefault="000C7520" w:rsidP="00C25C1B">
      <w:pPr>
        <w:autoSpaceDE w:val="0"/>
        <w:autoSpaceDN w:val="0"/>
        <w:adjustRightInd w:val="0"/>
        <w:rPr>
          <w:rFonts w:ascii="TimesNewRomanPSMT" w:eastAsia="Times New Roman" w:hAnsi="TimesNewRomanPSMT" w:cs="TimesNewRomanPSMT"/>
          <w:b/>
          <w:color w:val="000000"/>
        </w:rPr>
      </w:pPr>
      <w:r w:rsidRPr="007059C9">
        <w:rPr>
          <w:rFonts w:ascii="TimesNewRomanPSMT" w:eastAsia="Times New Roman" w:hAnsi="TimesNewRomanPSMT" w:cs="TimesNewRomanPSMT"/>
          <w:b/>
          <w:color w:val="000000"/>
        </w:rPr>
        <w:t>Norms of academic behavior</w:t>
      </w:r>
    </w:p>
    <w:p w14:paraId="0B734B46" w14:textId="1C9AB101" w:rsidR="000C7520" w:rsidRPr="007059C9" w:rsidRDefault="000C7520" w:rsidP="00C25C1B">
      <w:pPr>
        <w:autoSpaceDE w:val="0"/>
        <w:autoSpaceDN w:val="0"/>
        <w:adjustRightInd w:val="0"/>
        <w:rPr>
          <w:rFonts w:ascii="TimesNewRomanPSMT" w:eastAsia="Times New Roman" w:hAnsi="TimesNewRomanPSMT" w:cs="TimesNewRomanPSMT"/>
          <w:color w:val="000000"/>
        </w:rPr>
      </w:pPr>
      <w:r w:rsidRPr="007059C9">
        <w:rPr>
          <w:rFonts w:ascii="TimesNewRomanPSMT" w:eastAsia="Times New Roman" w:hAnsi="TimesNewRomanPSMT" w:cs="TimesNewRomanPSMT"/>
          <w:color w:val="000000"/>
        </w:rPr>
        <w:t xml:space="preserve">The purpose of </w:t>
      </w:r>
      <w:r w:rsidRPr="007059C9">
        <w:rPr>
          <w:rFonts w:ascii="TimesNewRomanPSMT" w:hAnsi="TimesNewRomanPSMT" w:cs="TimesNewRomanPSMT"/>
          <w:color w:val="000000"/>
        </w:rPr>
        <w:t xml:space="preserve">class time </w:t>
      </w:r>
      <w:r w:rsidRPr="007059C9">
        <w:rPr>
          <w:rFonts w:ascii="TimesNewRomanPSMT" w:eastAsia="Times New Roman" w:hAnsi="TimesNewRomanPSMT" w:cs="TimesNewRomanPSMT"/>
          <w:color w:val="000000"/>
        </w:rPr>
        <w:t xml:space="preserve">is to enhance your understanding of material covered in the course reading. To state the obvious, to get the most out of these experiences you must come to class prepared and on time, get enough sleep the night before, and avoid any distractions that might hinder your learning. Failing to read outside of class, coming to class late, falling asleep and/or text messaging during class wastes your time, my time, and insults your fellow students. </w:t>
      </w:r>
      <w:r w:rsidRPr="007059C9">
        <w:rPr>
          <w:rFonts w:ascii="TimesNewRomanPSMT" w:eastAsia="Times New Roman" w:hAnsi="TimesNewRomanPSMT" w:cs="TimesNewRomanPSMT"/>
          <w:b/>
          <w:color w:val="000000"/>
          <w:u w:val="single"/>
        </w:rPr>
        <w:t>During</w:t>
      </w:r>
      <w:r w:rsidRPr="007059C9">
        <w:rPr>
          <w:rFonts w:ascii="TimesNewRomanPSMT" w:hAnsi="TimesNewRomanPSMT" w:cs="TimesNewRomanPSMT"/>
          <w:b/>
          <w:color w:val="000000"/>
          <w:u w:val="single"/>
        </w:rPr>
        <w:t xml:space="preserve"> class time</w:t>
      </w:r>
      <w:r w:rsidRPr="007059C9">
        <w:rPr>
          <w:rFonts w:ascii="TimesNewRomanPSMT" w:eastAsia="Times New Roman" w:hAnsi="TimesNewRomanPSMT" w:cs="TimesNewRomanPSMT"/>
          <w:b/>
          <w:color w:val="000000"/>
          <w:u w:val="single"/>
        </w:rPr>
        <w:t xml:space="preserve">, </w:t>
      </w:r>
      <w:r w:rsidR="007E4E9E">
        <w:rPr>
          <w:rFonts w:ascii="TimesNewRomanPSMT" w:eastAsia="Times New Roman" w:hAnsi="TimesNewRomanPSMT" w:cs="TimesNewRomanPSMT"/>
          <w:b/>
          <w:color w:val="000000"/>
          <w:u w:val="single"/>
        </w:rPr>
        <w:t>therefore</w:t>
      </w:r>
      <w:r w:rsidRPr="007059C9">
        <w:rPr>
          <w:rFonts w:ascii="TimesNewRomanPSMT" w:eastAsia="Times New Roman" w:hAnsi="TimesNewRomanPSMT" w:cs="TimesNewRomanPSMT"/>
          <w:b/>
          <w:color w:val="000000"/>
          <w:u w:val="single"/>
        </w:rPr>
        <w:t>, please refrain from using electronic devices (phones, MP3 players, and laptops).</w:t>
      </w:r>
      <w:r w:rsidRPr="007059C9">
        <w:rPr>
          <w:rFonts w:ascii="TimesNewRomanPSMT" w:eastAsia="Times New Roman" w:hAnsi="TimesNewRomanPSMT" w:cs="TimesNewRomanPSMT"/>
          <w:color w:val="000000"/>
        </w:rPr>
        <w:t xml:space="preserve"> Anyone caught using an electronic device for an inappropriate use during lecture will have the device confiscated for the class period or asked to leave. Anyone caught twice for such an infraction will face further disciplinary action including low marks for class participation. </w:t>
      </w:r>
    </w:p>
    <w:p w14:paraId="226A0E69" w14:textId="77777777" w:rsidR="00C25C1B" w:rsidRDefault="00C25C1B" w:rsidP="00C25C1B">
      <w:pPr>
        <w:widowControl w:val="0"/>
        <w:autoSpaceDE w:val="0"/>
        <w:autoSpaceDN w:val="0"/>
        <w:adjustRightInd w:val="0"/>
        <w:rPr>
          <w:rFonts w:ascii="TimesNewRomanPS-BoldMT" w:hAnsi="TimesNewRomanPS-BoldMT" w:cs="TimesNewRomanPS-BoldMT"/>
          <w:b/>
          <w:bCs/>
          <w:color w:val="000000"/>
        </w:rPr>
      </w:pPr>
    </w:p>
    <w:p w14:paraId="779AA6AE" w14:textId="77777777" w:rsidR="000C7520" w:rsidRPr="007059C9" w:rsidRDefault="000C7520" w:rsidP="00C25C1B">
      <w:pPr>
        <w:widowControl w:val="0"/>
        <w:autoSpaceDE w:val="0"/>
        <w:autoSpaceDN w:val="0"/>
        <w:adjustRightInd w:val="0"/>
        <w:rPr>
          <w:rFonts w:ascii="TimesNewRomanPS-BoldMT" w:hAnsi="TimesNewRomanPS-BoldMT" w:cs="TimesNewRomanPS-BoldMT"/>
          <w:b/>
          <w:bCs/>
          <w:color w:val="000000"/>
        </w:rPr>
      </w:pPr>
      <w:r w:rsidRPr="007059C9">
        <w:rPr>
          <w:rFonts w:ascii="TimesNewRomanPS-BoldMT" w:hAnsi="TimesNewRomanPS-BoldMT" w:cs="TimesNewRomanPS-BoldMT"/>
          <w:b/>
          <w:bCs/>
          <w:color w:val="000000"/>
        </w:rPr>
        <w:t xml:space="preserve">Honor Code </w:t>
      </w:r>
    </w:p>
    <w:p w14:paraId="02F94F0F" w14:textId="1226E126" w:rsidR="000C7520" w:rsidRPr="007059C9" w:rsidRDefault="000C7520" w:rsidP="00C25C1B">
      <w:pPr>
        <w:widowControl w:val="0"/>
        <w:autoSpaceDE w:val="0"/>
        <w:autoSpaceDN w:val="0"/>
        <w:adjustRightInd w:val="0"/>
        <w:rPr>
          <w:rFonts w:ascii="TimesNewRomanPS-BoldMT" w:hAnsi="TimesNewRomanPS-BoldMT" w:cs="TimesNewRomanPS-BoldMT"/>
          <w:color w:val="000000"/>
        </w:rPr>
      </w:pPr>
      <w:r w:rsidRPr="007059C9">
        <w:rPr>
          <w:rFonts w:ascii="TimesNewRomanPSMT" w:hAnsi="TimesNewRomanPSMT" w:cs="TimesNewRomanPSMT"/>
          <w:color w:val="000000"/>
        </w:rPr>
        <w:t xml:space="preserve">The honor code is on effect in this class and all others at the University. </w:t>
      </w:r>
      <w:r w:rsidR="007E4E9E">
        <w:rPr>
          <w:rFonts w:ascii="TimesNewRomanPSMT" w:hAnsi="TimesNewRomanPSMT" w:cs="TimesNewRomanPSMT"/>
          <w:color w:val="000000"/>
        </w:rPr>
        <w:t>I</w:t>
      </w:r>
      <w:r w:rsidRPr="007059C9">
        <w:rPr>
          <w:rFonts w:ascii="TimesNewRomanPSMT" w:hAnsi="TimesNewRomanPSMT" w:cs="TimesNewRomanPSMT"/>
          <w:color w:val="000000"/>
        </w:rPr>
        <w:t xml:space="preserve"> treat Honor Code violations seriously and urge all students to become familiar with its terms set out at </w:t>
      </w:r>
      <w:r w:rsidRPr="007059C9">
        <w:rPr>
          <w:rFonts w:ascii="TimesNewRomanPSMT" w:hAnsi="TimesNewRomanPSMT" w:cs="TimesNewRomanPSMT"/>
          <w:color w:val="0000FF"/>
        </w:rPr>
        <w:t>http://instrument.unc.edu</w:t>
      </w:r>
      <w:r w:rsidRPr="007059C9">
        <w:rPr>
          <w:rFonts w:ascii="TimesNewRomanPSMT" w:hAnsi="TimesNewRomanPSMT" w:cs="TimesNewRomanPSMT"/>
          <w:color w:val="000000"/>
        </w:rPr>
        <w:t>. If you have questions, it is your responsibility to ask us about the Code’s application. It is assumed that all exams, written work and assignments submitted by you are in compliance with the requirements of the Honor Code.</w:t>
      </w:r>
      <w:r w:rsidRPr="007059C9">
        <w:rPr>
          <w:rFonts w:ascii="TimesNewRomanPS-BoldMT" w:hAnsi="TimesNewRomanPS-BoldMT" w:cs="TimesNewRomanPS-BoldMT"/>
          <w:color w:val="000000"/>
        </w:rPr>
        <w:t xml:space="preserve"> </w:t>
      </w:r>
    </w:p>
    <w:p w14:paraId="315AB104" w14:textId="77777777" w:rsidR="000C7520" w:rsidRPr="007059C9" w:rsidRDefault="000C7520" w:rsidP="00D5582C">
      <w:pPr>
        <w:keepNext/>
        <w:keepLines/>
        <w:widowControl w:val="0"/>
        <w:autoSpaceDE w:val="0"/>
        <w:autoSpaceDN w:val="0"/>
        <w:adjustRightInd w:val="0"/>
        <w:rPr>
          <w:rFonts w:ascii="TimesNewRomanPS-BoldMT" w:hAnsi="TimesNewRomanPS-BoldMT" w:cs="TimesNewRomanPS-BoldMT"/>
          <w:color w:val="000000"/>
        </w:rPr>
      </w:pPr>
    </w:p>
    <w:p w14:paraId="7F45B3A1" w14:textId="77777777" w:rsidR="000C7520" w:rsidRPr="007059C9" w:rsidRDefault="000C7520" w:rsidP="00D5582C">
      <w:pPr>
        <w:outlineLvl w:val="0"/>
        <w:rPr>
          <w:b/>
        </w:rPr>
      </w:pPr>
      <w:r w:rsidRPr="007059C9">
        <w:rPr>
          <w:b/>
        </w:rPr>
        <w:t>Academic Integrity/Plagiarism</w:t>
      </w:r>
    </w:p>
    <w:p w14:paraId="30091BC7" w14:textId="77777777" w:rsidR="000C7520" w:rsidRPr="007059C9" w:rsidRDefault="000C7520" w:rsidP="00D5582C">
      <w:r w:rsidRPr="007059C9">
        <w:t>In order to ensure effective functioning of the Honor System at Carolina, all students are expected to:</w:t>
      </w:r>
    </w:p>
    <w:p w14:paraId="687B7789" w14:textId="7898299F" w:rsidR="000C7520" w:rsidRPr="007059C9" w:rsidRDefault="000C7520" w:rsidP="007E4E9E">
      <w:pPr>
        <w:pStyle w:val="ListParagraph"/>
        <w:numPr>
          <w:ilvl w:val="0"/>
          <w:numId w:val="12"/>
        </w:numPr>
      </w:pPr>
      <w:r w:rsidRPr="007059C9">
        <w:t>Conduct all academic work within the letter and spirit of the Honor Code, which prohibits the giving or receiving of unauthorized aid in all acade</w:t>
      </w:r>
      <w:bookmarkStart w:id="0" w:name="_GoBack"/>
      <w:bookmarkEnd w:id="0"/>
      <w:r w:rsidRPr="007059C9">
        <w:t>mic processes. If unsure about the limits of group work versus individual work on papers and projects, ask the instructor. Do not guess.</w:t>
      </w:r>
    </w:p>
    <w:p w14:paraId="63A59F3B" w14:textId="707CDAE0" w:rsidR="000C7520" w:rsidRPr="007059C9" w:rsidRDefault="000C7520" w:rsidP="007E4E9E">
      <w:pPr>
        <w:pStyle w:val="ListParagraph"/>
        <w:numPr>
          <w:ilvl w:val="0"/>
          <w:numId w:val="12"/>
        </w:numPr>
      </w:pPr>
      <w:r w:rsidRPr="007059C9">
        <w:t>Consult with faculty and other sources to clarify the meaning of plagiarism; to learn the recognized techniques of proper attribution of sources used in written work; and to identify allowable resource materials or aids to be used during completion of any graded work.</w:t>
      </w:r>
    </w:p>
    <w:p w14:paraId="63DA79D1" w14:textId="7B1F3E6F" w:rsidR="000C7520" w:rsidRPr="007059C9" w:rsidRDefault="000C7520" w:rsidP="007E4E9E">
      <w:pPr>
        <w:pStyle w:val="ListParagraph"/>
        <w:numPr>
          <w:ilvl w:val="0"/>
          <w:numId w:val="12"/>
        </w:numPr>
      </w:pPr>
      <w:r w:rsidRPr="007059C9">
        <w:t>Sign a pledge on all graded academic work certifying that no unauthorized assistance has been received or given in the completion of the work.</w:t>
      </w:r>
    </w:p>
    <w:p w14:paraId="4F802988" w14:textId="687D47B6" w:rsidR="000C7520" w:rsidRPr="007059C9" w:rsidRDefault="000C7520" w:rsidP="007E4E9E">
      <w:pPr>
        <w:pStyle w:val="ListParagraph"/>
        <w:numPr>
          <w:ilvl w:val="0"/>
          <w:numId w:val="12"/>
        </w:numPr>
      </w:pPr>
      <w:r w:rsidRPr="007059C9">
        <w:t>Treat all members of the University community with respect and fairness.</w:t>
      </w:r>
    </w:p>
    <w:p w14:paraId="02C621BF" w14:textId="555EACDA" w:rsidR="000C7520" w:rsidRPr="007059C9" w:rsidRDefault="000C7520" w:rsidP="007E4E9E">
      <w:pPr>
        <w:pStyle w:val="ListParagraph"/>
        <w:numPr>
          <w:ilvl w:val="0"/>
          <w:numId w:val="12"/>
        </w:numPr>
      </w:pPr>
      <w:r w:rsidRPr="007059C9">
        <w:t xml:space="preserve">Report any instance in which reasonable grounds exist to believe that a student has given or received unauthorized aid in graded work or in other respects violated the Honor Code. Reports should be made to the office of the Student Attorney General. </w:t>
      </w:r>
    </w:p>
    <w:p w14:paraId="06095FFA" w14:textId="77777777" w:rsidR="000C7520" w:rsidRPr="007059C9" w:rsidRDefault="000C7520" w:rsidP="00D5582C">
      <w:pPr>
        <w:keepNext/>
        <w:keepLines/>
        <w:widowControl w:val="0"/>
        <w:autoSpaceDE w:val="0"/>
        <w:autoSpaceDN w:val="0"/>
        <w:adjustRightInd w:val="0"/>
        <w:rPr>
          <w:rFonts w:ascii="TimesNewRomanPS-BoldMT" w:hAnsi="TimesNewRomanPS-BoldMT" w:cs="TimesNewRomanPS-BoldMT"/>
          <w:color w:val="000000"/>
        </w:rPr>
      </w:pPr>
    </w:p>
    <w:p w14:paraId="30B3A728" w14:textId="77777777" w:rsidR="000C7520" w:rsidRPr="007059C9" w:rsidRDefault="000C7520" w:rsidP="00D5582C">
      <w:pPr>
        <w:keepNext/>
        <w:keepLines/>
        <w:widowControl w:val="0"/>
        <w:autoSpaceDE w:val="0"/>
        <w:autoSpaceDN w:val="0"/>
        <w:adjustRightInd w:val="0"/>
      </w:pPr>
      <w:r w:rsidRPr="007059C9">
        <w:t>At UNC, plagiarism is defined as "the deliberate or reckless representation of another's words, thoughts, or ideas as one's own without attribution in connection with submission of academic work, whether graded or otherwise." (</w:t>
      </w:r>
      <w:hyperlink r:id="rId7" w:history="1">
        <w:r w:rsidRPr="007059C9">
          <w:rPr>
            <w:rStyle w:val="Hyperlink"/>
            <w:i/>
            <w:iCs/>
          </w:rPr>
          <w:t>Instrument of Student Judicial Governance</w:t>
        </w:r>
      </w:hyperlink>
      <w:r w:rsidRPr="007059C9">
        <w:rPr>
          <w:i/>
          <w:iCs/>
        </w:rPr>
        <w:t xml:space="preserve">, </w:t>
      </w:r>
      <w:r w:rsidRPr="007059C9">
        <w:t xml:space="preserve">Section II.B.1.). Because it is considered a form of cheating, the Office of the Dean of Students can punish students who plagiarize with course failure and suspension. Full information can be found on the </w:t>
      </w:r>
      <w:hyperlink r:id="rId8" w:history="1">
        <w:r w:rsidRPr="007059C9">
          <w:rPr>
            <w:rStyle w:val="Hyperlink"/>
          </w:rPr>
          <w:t>UNC Honor System</w:t>
        </w:r>
      </w:hyperlink>
      <w:r w:rsidRPr="007059C9">
        <w:t xml:space="preserve"> page UNC Writing Center Handout: </w:t>
      </w:r>
      <w:hyperlink r:id="rId9" w:history="1">
        <w:r w:rsidRPr="007059C9">
          <w:rPr>
            <w:rStyle w:val="Hyperlink"/>
          </w:rPr>
          <w:t>http://writingcenter.unc.edu/resources/handouts-demos/citation/plagiarism</w:t>
        </w:r>
      </w:hyperlink>
      <w:r w:rsidRPr="007059C9">
        <w:t xml:space="preserve">) </w:t>
      </w:r>
    </w:p>
    <w:p w14:paraId="4577BB54" w14:textId="77777777" w:rsidR="00D5582C" w:rsidRDefault="00D5582C" w:rsidP="00D5582C">
      <w:pPr>
        <w:rPr>
          <w:b/>
        </w:rPr>
      </w:pPr>
    </w:p>
    <w:p w14:paraId="3C8B92C1" w14:textId="2B5DFEF5" w:rsidR="006B2E95" w:rsidRPr="007059C9" w:rsidRDefault="006B2E95" w:rsidP="00D5582C">
      <w:pPr>
        <w:rPr>
          <w:b/>
        </w:rPr>
      </w:pPr>
      <w:r w:rsidRPr="007059C9">
        <w:rPr>
          <w:b/>
        </w:rPr>
        <w:t>Course Texts</w:t>
      </w:r>
    </w:p>
    <w:p w14:paraId="48E02CF6" w14:textId="7026EB0B" w:rsidR="00BD30F0" w:rsidRPr="007059C9" w:rsidRDefault="00BD30F0" w:rsidP="00D5582C">
      <w:pPr>
        <w:rPr>
          <w:i/>
        </w:rPr>
      </w:pPr>
      <w:r w:rsidRPr="007059C9">
        <w:rPr>
          <w:i/>
        </w:rPr>
        <w:t>All have been ordered by UNC Student Stores and are widely available through online vendors</w:t>
      </w:r>
    </w:p>
    <w:p w14:paraId="5189B7D3" w14:textId="77777777" w:rsidR="006B2E95" w:rsidRPr="007059C9" w:rsidRDefault="006B2E95" w:rsidP="00CA6AEE"/>
    <w:p w14:paraId="7DA64B5E" w14:textId="5E324078" w:rsidR="006B20FB" w:rsidRPr="007059C9" w:rsidRDefault="006B20FB" w:rsidP="00CA6AEE">
      <w:pPr>
        <w:rPr>
          <w:i/>
        </w:rPr>
      </w:pPr>
      <w:r w:rsidRPr="007059C9">
        <w:rPr>
          <w:i/>
        </w:rPr>
        <w:t>Required</w:t>
      </w:r>
      <w:r w:rsidR="00BD30F0" w:rsidRPr="007059C9">
        <w:rPr>
          <w:i/>
        </w:rPr>
        <w:t xml:space="preserve"> </w:t>
      </w:r>
    </w:p>
    <w:p w14:paraId="61D7B587" w14:textId="00C98701" w:rsidR="006B20FB" w:rsidRPr="007059C9" w:rsidRDefault="006B20FB" w:rsidP="006B20FB">
      <w:pPr>
        <w:widowControl w:val="0"/>
        <w:autoSpaceDE w:val="0"/>
        <w:autoSpaceDN w:val="0"/>
        <w:adjustRightInd w:val="0"/>
        <w:ind w:left="720" w:right="-720" w:hanging="720"/>
        <w:rPr>
          <w:rFonts w:cs="Helvetica"/>
        </w:rPr>
      </w:pPr>
      <w:r w:rsidRPr="007059C9">
        <w:rPr>
          <w:rFonts w:cs="Helvetica"/>
        </w:rPr>
        <w:t xml:space="preserve">Morgan, S. L., &amp; </w:t>
      </w:r>
      <w:proofErr w:type="spellStart"/>
      <w:r w:rsidRPr="007059C9">
        <w:rPr>
          <w:rFonts w:cs="Helvetica"/>
        </w:rPr>
        <w:t>Winship</w:t>
      </w:r>
      <w:proofErr w:type="spellEnd"/>
      <w:r w:rsidRPr="007059C9">
        <w:rPr>
          <w:rFonts w:cs="Helvetica"/>
        </w:rPr>
        <w:t xml:space="preserve">, C. (2007). </w:t>
      </w:r>
      <w:r w:rsidRPr="007059C9">
        <w:rPr>
          <w:rFonts w:cs="Helvetica"/>
          <w:i/>
          <w:iCs/>
        </w:rPr>
        <w:t>Counterfactuals and causal inference: Methods and principles for social research</w:t>
      </w:r>
      <w:r w:rsidRPr="007059C9">
        <w:rPr>
          <w:rFonts w:cs="Helvetica"/>
        </w:rPr>
        <w:t>: Cambridge University Press.</w:t>
      </w:r>
    </w:p>
    <w:p w14:paraId="62530019" w14:textId="77777777" w:rsidR="006B20FB" w:rsidRPr="007059C9" w:rsidRDefault="006B20FB" w:rsidP="006B20FB">
      <w:pPr>
        <w:widowControl w:val="0"/>
        <w:autoSpaceDE w:val="0"/>
        <w:autoSpaceDN w:val="0"/>
        <w:adjustRightInd w:val="0"/>
        <w:ind w:left="720" w:right="-720" w:hanging="720"/>
        <w:rPr>
          <w:rFonts w:cs="Helvetica"/>
        </w:rPr>
      </w:pPr>
      <w:proofErr w:type="spellStart"/>
      <w:r w:rsidRPr="007059C9">
        <w:rPr>
          <w:rFonts w:cs="Helvetica"/>
        </w:rPr>
        <w:t>Murnane</w:t>
      </w:r>
      <w:proofErr w:type="spellEnd"/>
      <w:r w:rsidRPr="007059C9">
        <w:rPr>
          <w:rFonts w:cs="Helvetica"/>
        </w:rPr>
        <w:t xml:space="preserve">, R. J., &amp; Willett, J. B. (2010). </w:t>
      </w:r>
      <w:r w:rsidRPr="007059C9">
        <w:rPr>
          <w:rFonts w:cs="Helvetica"/>
          <w:i/>
          <w:iCs/>
        </w:rPr>
        <w:t>Methods matter: Improving causal inference in educational and social science research</w:t>
      </w:r>
      <w:r w:rsidRPr="007059C9">
        <w:rPr>
          <w:rFonts w:cs="Helvetica"/>
        </w:rPr>
        <w:t>: Oxford University Press, USA.</w:t>
      </w:r>
    </w:p>
    <w:p w14:paraId="1F538646" w14:textId="726C7956" w:rsidR="006B20FB" w:rsidRPr="007059C9" w:rsidRDefault="006B20FB" w:rsidP="006B20FB">
      <w:pPr>
        <w:widowControl w:val="0"/>
        <w:autoSpaceDE w:val="0"/>
        <w:autoSpaceDN w:val="0"/>
        <w:adjustRightInd w:val="0"/>
        <w:ind w:left="720" w:right="-720" w:hanging="720"/>
        <w:rPr>
          <w:rFonts w:cs="Helvetica"/>
        </w:rPr>
      </w:pPr>
      <w:proofErr w:type="spellStart"/>
      <w:r w:rsidRPr="007059C9">
        <w:rPr>
          <w:rFonts w:cs="Helvetica"/>
        </w:rPr>
        <w:t>Shadish</w:t>
      </w:r>
      <w:proofErr w:type="spellEnd"/>
      <w:r w:rsidRPr="007059C9">
        <w:rPr>
          <w:rFonts w:cs="Helvetica"/>
        </w:rPr>
        <w:t xml:space="preserve">, W. R., Cook, T. D., &amp; Campbell, D. T. (2002). </w:t>
      </w:r>
      <w:r w:rsidRPr="007059C9">
        <w:rPr>
          <w:rFonts w:cs="Helvetica"/>
          <w:i/>
          <w:iCs/>
        </w:rPr>
        <w:t>Experimental and quasi-experimental designs for generalized causal inference</w:t>
      </w:r>
      <w:r w:rsidRPr="007059C9">
        <w:rPr>
          <w:rFonts w:cs="Helvetica"/>
        </w:rPr>
        <w:t xml:space="preserve">: Wadsworth </w:t>
      </w:r>
      <w:proofErr w:type="spellStart"/>
      <w:r w:rsidRPr="007059C9">
        <w:rPr>
          <w:rFonts w:cs="Helvetica"/>
        </w:rPr>
        <w:t>Cengage</w:t>
      </w:r>
      <w:proofErr w:type="spellEnd"/>
      <w:r w:rsidRPr="007059C9">
        <w:rPr>
          <w:rFonts w:cs="Helvetica"/>
        </w:rPr>
        <w:t xml:space="preserve"> learning.</w:t>
      </w:r>
    </w:p>
    <w:p w14:paraId="4525FABF" w14:textId="77777777" w:rsidR="006B20FB" w:rsidRPr="007059C9" w:rsidRDefault="006B20FB" w:rsidP="00CA6AEE"/>
    <w:p w14:paraId="78A54693" w14:textId="75DAA8AE" w:rsidR="006B20FB" w:rsidRPr="007059C9" w:rsidRDefault="00E3705D" w:rsidP="00CA6AEE">
      <w:pPr>
        <w:rPr>
          <w:i/>
        </w:rPr>
      </w:pPr>
      <w:r w:rsidRPr="007059C9">
        <w:rPr>
          <w:i/>
        </w:rPr>
        <w:t xml:space="preserve">Strongly </w:t>
      </w:r>
      <w:r w:rsidR="006B20FB" w:rsidRPr="007059C9">
        <w:rPr>
          <w:i/>
        </w:rPr>
        <w:t>Recommended</w:t>
      </w:r>
    </w:p>
    <w:p w14:paraId="3A881DDA" w14:textId="77777777" w:rsidR="006B20FB" w:rsidRPr="007059C9" w:rsidRDefault="006B20FB" w:rsidP="006B20FB">
      <w:pPr>
        <w:widowControl w:val="0"/>
        <w:autoSpaceDE w:val="0"/>
        <w:autoSpaceDN w:val="0"/>
        <w:adjustRightInd w:val="0"/>
        <w:ind w:left="720" w:right="-720" w:hanging="720"/>
        <w:rPr>
          <w:rFonts w:cs="Helvetica"/>
        </w:rPr>
      </w:pPr>
      <w:proofErr w:type="spellStart"/>
      <w:r w:rsidRPr="007059C9">
        <w:rPr>
          <w:rFonts w:cs="Helvetica"/>
        </w:rPr>
        <w:t>Angrist</w:t>
      </w:r>
      <w:proofErr w:type="spellEnd"/>
      <w:r w:rsidRPr="007059C9">
        <w:rPr>
          <w:rFonts w:cs="Helvetica"/>
        </w:rPr>
        <w:t xml:space="preserve">, J. D., &amp; </w:t>
      </w:r>
      <w:proofErr w:type="spellStart"/>
      <w:r w:rsidRPr="007059C9">
        <w:rPr>
          <w:rFonts w:cs="Helvetica"/>
        </w:rPr>
        <w:t>Pischke</w:t>
      </w:r>
      <w:proofErr w:type="spellEnd"/>
      <w:r w:rsidRPr="007059C9">
        <w:rPr>
          <w:rFonts w:cs="Helvetica"/>
        </w:rPr>
        <w:t xml:space="preserve">, J. S. (2008). </w:t>
      </w:r>
      <w:r w:rsidRPr="007059C9">
        <w:rPr>
          <w:rFonts w:cs="Helvetica"/>
          <w:i/>
          <w:iCs/>
        </w:rPr>
        <w:t>Mostly harmless econometrics: An empiricist's companion</w:t>
      </w:r>
      <w:r w:rsidRPr="007059C9">
        <w:rPr>
          <w:rFonts w:cs="Helvetica"/>
        </w:rPr>
        <w:t>: Princeton University Press.</w:t>
      </w:r>
    </w:p>
    <w:p w14:paraId="530A5084" w14:textId="77777777" w:rsidR="006B20FB" w:rsidRPr="007059C9" w:rsidRDefault="006B20FB" w:rsidP="006B20FB">
      <w:pPr>
        <w:widowControl w:val="0"/>
        <w:autoSpaceDE w:val="0"/>
        <w:autoSpaceDN w:val="0"/>
        <w:adjustRightInd w:val="0"/>
        <w:ind w:left="720" w:right="-720" w:hanging="720"/>
        <w:rPr>
          <w:rFonts w:cs="Helvetica"/>
        </w:rPr>
      </w:pPr>
      <w:r w:rsidRPr="007059C9">
        <w:rPr>
          <w:rFonts w:cs="Helvetica"/>
        </w:rPr>
        <w:t xml:space="preserve">Firebaugh, G. (2008). </w:t>
      </w:r>
      <w:r w:rsidRPr="007059C9">
        <w:rPr>
          <w:rFonts w:cs="Helvetica"/>
          <w:i/>
          <w:iCs/>
        </w:rPr>
        <w:t>Seven rules for social research</w:t>
      </w:r>
      <w:r w:rsidRPr="007059C9">
        <w:rPr>
          <w:rFonts w:cs="Helvetica"/>
        </w:rPr>
        <w:t>: Princeton University Press.</w:t>
      </w:r>
    </w:p>
    <w:p w14:paraId="04B0498F" w14:textId="77777777" w:rsidR="006B20FB" w:rsidRPr="007059C9" w:rsidRDefault="006B20FB" w:rsidP="006B20FB">
      <w:pPr>
        <w:widowControl w:val="0"/>
        <w:autoSpaceDE w:val="0"/>
        <w:autoSpaceDN w:val="0"/>
        <w:adjustRightInd w:val="0"/>
        <w:ind w:left="720" w:right="-720" w:hanging="720"/>
        <w:rPr>
          <w:rFonts w:cs="Helvetica"/>
        </w:rPr>
      </w:pPr>
      <w:r w:rsidRPr="007059C9">
        <w:rPr>
          <w:rFonts w:cs="Helvetica"/>
        </w:rPr>
        <w:t xml:space="preserve">Wooldridge, J. M. (2009). </w:t>
      </w:r>
      <w:r w:rsidRPr="007059C9">
        <w:rPr>
          <w:rFonts w:cs="Helvetica"/>
          <w:i/>
          <w:iCs/>
        </w:rPr>
        <w:t>Introductory econometrics: A modern approach</w:t>
      </w:r>
      <w:r w:rsidRPr="007059C9">
        <w:rPr>
          <w:rFonts w:cs="Helvetica"/>
        </w:rPr>
        <w:t>: South-Western Pub.</w:t>
      </w:r>
    </w:p>
    <w:p w14:paraId="75812B88" w14:textId="77777777" w:rsidR="006A46A1" w:rsidRPr="007059C9" w:rsidRDefault="006A46A1" w:rsidP="00CA6AEE"/>
    <w:p w14:paraId="7EF3603F" w14:textId="77777777" w:rsidR="003531E5" w:rsidRDefault="003531E5">
      <w:pPr>
        <w:rPr>
          <w:b/>
        </w:rPr>
      </w:pPr>
      <w:r>
        <w:rPr>
          <w:b/>
        </w:rPr>
        <w:br w:type="page"/>
      </w:r>
    </w:p>
    <w:p w14:paraId="608602FC" w14:textId="69947257" w:rsidR="00E3705D" w:rsidRPr="007059C9" w:rsidRDefault="00E3705D" w:rsidP="00CA6AEE">
      <w:pPr>
        <w:rPr>
          <w:b/>
        </w:rPr>
      </w:pPr>
      <w:r w:rsidRPr="007059C9">
        <w:rPr>
          <w:b/>
        </w:rPr>
        <w:t>Course Schedule</w:t>
      </w:r>
    </w:p>
    <w:p w14:paraId="102D6D6B" w14:textId="77777777" w:rsidR="00E3705D" w:rsidRPr="007059C9" w:rsidRDefault="00E3705D" w:rsidP="00CA6AEE"/>
    <w:p w14:paraId="52BE0EE1" w14:textId="770CBCC9" w:rsidR="0064326F" w:rsidRPr="007059C9" w:rsidRDefault="008B0ECD" w:rsidP="008B0ECD">
      <w:pPr>
        <w:pStyle w:val="ListParagraph"/>
        <w:numPr>
          <w:ilvl w:val="0"/>
          <w:numId w:val="5"/>
        </w:numPr>
        <w:rPr>
          <w:b/>
        </w:rPr>
      </w:pPr>
      <w:r w:rsidRPr="007059C9">
        <w:rPr>
          <w:b/>
        </w:rPr>
        <w:t xml:space="preserve">Jan. 14 – </w:t>
      </w:r>
      <w:r w:rsidR="0064326F" w:rsidRPr="007059C9">
        <w:rPr>
          <w:b/>
        </w:rPr>
        <w:t>Introduction</w:t>
      </w:r>
      <w:r w:rsidR="007D7253" w:rsidRPr="007059C9">
        <w:rPr>
          <w:b/>
        </w:rPr>
        <w:t xml:space="preserve"> </w:t>
      </w:r>
    </w:p>
    <w:p w14:paraId="1AF22BD9" w14:textId="220135DE" w:rsidR="006811D4" w:rsidRPr="007059C9" w:rsidRDefault="0064326F" w:rsidP="007D7253">
      <w:pPr>
        <w:ind w:left="720"/>
      </w:pPr>
      <w:r w:rsidRPr="007059C9">
        <w:t>Course overview</w:t>
      </w:r>
      <w:r w:rsidR="007D7253" w:rsidRPr="007059C9">
        <w:t xml:space="preserve">; </w:t>
      </w:r>
      <w:r w:rsidR="00832DDD" w:rsidRPr="007059C9">
        <w:t>Aims of research</w:t>
      </w:r>
      <w:r w:rsidR="007D7253" w:rsidRPr="007059C9">
        <w:t xml:space="preserve"> (building theory, testing theory); d</w:t>
      </w:r>
      <w:r w:rsidR="00832DDD" w:rsidRPr="007059C9">
        <w:t>escription</w:t>
      </w:r>
      <w:r w:rsidR="007D7253" w:rsidRPr="007059C9">
        <w:t>; e</w:t>
      </w:r>
      <w:r w:rsidR="00832DDD" w:rsidRPr="007059C9">
        <w:t>xplanation</w:t>
      </w:r>
      <w:r w:rsidR="007D7253" w:rsidRPr="007059C9">
        <w:t>; p</w:t>
      </w:r>
      <w:r w:rsidR="006811D4" w:rsidRPr="007059C9">
        <w:t>rogram evaluation</w:t>
      </w:r>
      <w:r w:rsidR="007D7253" w:rsidRPr="007059C9">
        <w:t>; p</w:t>
      </w:r>
      <w:r w:rsidR="006811D4" w:rsidRPr="007059C9">
        <w:t>rediction</w:t>
      </w:r>
      <w:r w:rsidR="007D7253" w:rsidRPr="007059C9">
        <w:t xml:space="preserve">; </w:t>
      </w:r>
      <w:r w:rsidR="006811D4" w:rsidRPr="007059C9">
        <w:t>causal inference</w:t>
      </w:r>
      <w:r w:rsidR="007D7253" w:rsidRPr="007059C9">
        <w:t>, description, explanation; modes of causal inference (Campbell, threats to validity; Rubin, potential outcomes; econometrics, bias in program evaluation treatment effects)</w:t>
      </w:r>
    </w:p>
    <w:p w14:paraId="0D18D3A3" w14:textId="77777777" w:rsidR="006811D4" w:rsidRPr="007059C9" w:rsidRDefault="006811D4" w:rsidP="00507D8A"/>
    <w:p w14:paraId="6FFBAE8B" w14:textId="77777777" w:rsidR="007D7253" w:rsidRPr="007059C9" w:rsidRDefault="007D7253" w:rsidP="007D7253">
      <w:pPr>
        <w:ind w:left="720"/>
      </w:pPr>
      <w:proofErr w:type="spellStart"/>
      <w:r w:rsidRPr="007059C9">
        <w:t>Murnane</w:t>
      </w:r>
      <w:proofErr w:type="spellEnd"/>
      <w:r w:rsidRPr="007059C9">
        <w:t xml:space="preserve"> and Willett, chapters 1-3</w:t>
      </w:r>
    </w:p>
    <w:p w14:paraId="0C7BD674" w14:textId="4C789B89" w:rsidR="006811D4" w:rsidRPr="007059C9" w:rsidRDefault="00D53C0A" w:rsidP="007D7253">
      <w:pPr>
        <w:ind w:left="720"/>
      </w:pPr>
      <w:proofErr w:type="spellStart"/>
      <w:r w:rsidRPr="007059C9">
        <w:t>Shadish</w:t>
      </w:r>
      <w:proofErr w:type="spellEnd"/>
      <w:r w:rsidRPr="007059C9">
        <w:t>, Cook, and Campbell, chapter 1</w:t>
      </w:r>
    </w:p>
    <w:p w14:paraId="2A53F879" w14:textId="77777777" w:rsidR="00D53C0A" w:rsidRPr="007059C9" w:rsidRDefault="00D53C0A" w:rsidP="007D7253">
      <w:pPr>
        <w:widowControl w:val="0"/>
        <w:autoSpaceDE w:val="0"/>
        <w:autoSpaceDN w:val="0"/>
        <w:adjustRightInd w:val="0"/>
        <w:ind w:left="1440" w:hanging="720"/>
        <w:rPr>
          <w:rFonts w:cs="Times"/>
        </w:rPr>
      </w:pPr>
      <w:r w:rsidRPr="007059C9">
        <w:rPr>
          <w:rFonts w:cs="Times"/>
        </w:rPr>
        <w:t xml:space="preserve">Holland, Paul. 1986. "Statistics and causal inference." </w:t>
      </w:r>
      <w:r w:rsidRPr="007059C9">
        <w:rPr>
          <w:rFonts w:cs="Times"/>
          <w:i/>
          <w:iCs/>
        </w:rPr>
        <w:t xml:space="preserve">Journal of the American Statistical Association </w:t>
      </w:r>
      <w:r w:rsidRPr="007059C9">
        <w:rPr>
          <w:rFonts w:cs="Times"/>
        </w:rPr>
        <w:t xml:space="preserve">81:945-60. </w:t>
      </w:r>
    </w:p>
    <w:p w14:paraId="6F74553C" w14:textId="77777777" w:rsidR="009A67B5" w:rsidRPr="007059C9" w:rsidRDefault="009A67B5" w:rsidP="00787B58"/>
    <w:p w14:paraId="395BF24B" w14:textId="302761FA" w:rsidR="008B0ECD" w:rsidRPr="007059C9" w:rsidRDefault="008B0ECD" w:rsidP="008B0ECD">
      <w:pPr>
        <w:pStyle w:val="ListParagraph"/>
        <w:numPr>
          <w:ilvl w:val="0"/>
          <w:numId w:val="5"/>
        </w:numPr>
        <w:rPr>
          <w:b/>
        </w:rPr>
      </w:pPr>
      <w:r w:rsidRPr="007059C9">
        <w:rPr>
          <w:b/>
        </w:rPr>
        <w:t xml:space="preserve">Jan. 21 – </w:t>
      </w:r>
      <w:r w:rsidR="006B2E95" w:rsidRPr="007059C9">
        <w:rPr>
          <w:b/>
        </w:rPr>
        <w:t>Conceptual matters, measurement, and sampling</w:t>
      </w:r>
    </w:p>
    <w:p w14:paraId="2452DB42" w14:textId="70EB8D00" w:rsidR="003E5344" w:rsidRPr="007059C9" w:rsidRDefault="008B0ECD" w:rsidP="008B0ECD">
      <w:pPr>
        <w:pStyle w:val="ListParagraph"/>
        <w:rPr>
          <w:b/>
          <w:u w:val="single"/>
        </w:rPr>
      </w:pPr>
      <w:r w:rsidRPr="007059C9">
        <w:rPr>
          <w:b/>
          <w:u w:val="single"/>
        </w:rPr>
        <w:t>MLK Holiday, no class meeting, but read material and complete</w:t>
      </w:r>
      <w:r w:rsidR="007D7253" w:rsidRPr="007059C9">
        <w:rPr>
          <w:b/>
          <w:u w:val="single"/>
        </w:rPr>
        <w:t xml:space="preserve"> </w:t>
      </w:r>
      <w:r w:rsidRPr="007059C9">
        <w:rPr>
          <w:b/>
          <w:u w:val="single"/>
        </w:rPr>
        <w:t>assignment</w:t>
      </w:r>
    </w:p>
    <w:p w14:paraId="1932D52D" w14:textId="1003855B" w:rsidR="00E363F9" w:rsidRPr="007059C9" w:rsidRDefault="00F87531" w:rsidP="00F87531">
      <w:pPr>
        <w:ind w:left="720"/>
      </w:pPr>
      <w:r w:rsidRPr="007059C9">
        <w:t>Choosing a good research q</w:t>
      </w:r>
      <w:r w:rsidR="00E363F9" w:rsidRPr="007059C9">
        <w:t>uestion</w:t>
      </w:r>
      <w:r w:rsidRPr="007059C9">
        <w:t xml:space="preserve">; </w:t>
      </w:r>
      <w:r w:rsidR="00B53490">
        <w:t>r</w:t>
      </w:r>
      <w:r w:rsidR="00E363F9" w:rsidRPr="007059C9">
        <w:t>elevance</w:t>
      </w:r>
      <w:r w:rsidRPr="007059C9">
        <w:t xml:space="preserve"> to social science theory and public policy; </w:t>
      </w:r>
      <w:r w:rsidR="00B53490">
        <w:t xml:space="preserve">the </w:t>
      </w:r>
      <w:proofErr w:type="spellStart"/>
      <w:r w:rsidR="00B53490">
        <w:t>Campbellian</w:t>
      </w:r>
      <w:proofErr w:type="spellEnd"/>
      <w:r w:rsidR="00B53490">
        <w:t xml:space="preserve"> validity typology (statistical conclusion, internal, conceptual, external)</w:t>
      </w:r>
      <w:r w:rsidR="006B2E95" w:rsidRPr="007059C9">
        <w:t xml:space="preserve">. </w:t>
      </w:r>
    </w:p>
    <w:p w14:paraId="5D1473D9" w14:textId="77777777" w:rsidR="00507D8A" w:rsidRPr="007059C9" w:rsidRDefault="00507D8A" w:rsidP="00507D8A"/>
    <w:p w14:paraId="34026F8D" w14:textId="07C5D232" w:rsidR="001A04A3" w:rsidRPr="007059C9" w:rsidRDefault="003F063F" w:rsidP="003F063F">
      <w:pPr>
        <w:ind w:left="720"/>
      </w:pPr>
      <w:proofErr w:type="spellStart"/>
      <w:r w:rsidRPr="007059C9">
        <w:t>Shadish</w:t>
      </w:r>
      <w:proofErr w:type="spellEnd"/>
      <w:r w:rsidRPr="007059C9">
        <w:t>, Cook, Campbell</w:t>
      </w:r>
      <w:r w:rsidR="00F87531" w:rsidRPr="007059C9">
        <w:t>,</w:t>
      </w:r>
      <w:r w:rsidRPr="007059C9">
        <w:t xml:space="preserve"> </w:t>
      </w:r>
      <w:r w:rsidR="00D53C0A" w:rsidRPr="007059C9">
        <w:t xml:space="preserve">chapters </w:t>
      </w:r>
      <w:r w:rsidRPr="007059C9">
        <w:t>2, 3</w:t>
      </w:r>
    </w:p>
    <w:p w14:paraId="50B4CC06" w14:textId="06E8944F" w:rsidR="00D53C0A" w:rsidRPr="007059C9" w:rsidRDefault="00D53C0A" w:rsidP="003F063F">
      <w:pPr>
        <w:ind w:left="720"/>
      </w:pPr>
      <w:r w:rsidRPr="007059C9">
        <w:t>Firebaugh, chapter 1</w:t>
      </w:r>
    </w:p>
    <w:p w14:paraId="4B1D8FF2" w14:textId="67A9F468" w:rsidR="00F87531" w:rsidRDefault="004F098E" w:rsidP="003F063F">
      <w:pPr>
        <w:ind w:left="720"/>
      </w:pPr>
      <w:r>
        <w:t>Cheng &amp; Hoekstra</w:t>
      </w:r>
      <w:r w:rsidR="00E76493">
        <w:t xml:space="preserve"> </w:t>
      </w:r>
      <w:r w:rsidR="009524B6">
        <w:t xml:space="preserve">2012 “Does Strengthening Self-Defense Law Deter Crime or Escalate Violence? Evidence from Castle Doctrine” working paper. </w:t>
      </w:r>
    </w:p>
    <w:p w14:paraId="31723EEB" w14:textId="77777777" w:rsidR="004F098E" w:rsidRPr="007059C9" w:rsidRDefault="004F098E" w:rsidP="003F063F">
      <w:pPr>
        <w:ind w:left="720"/>
      </w:pPr>
    </w:p>
    <w:p w14:paraId="26E6DDA1" w14:textId="77777777" w:rsidR="009524B6" w:rsidRPr="00C34716" w:rsidRDefault="00F87531" w:rsidP="003F063F">
      <w:pPr>
        <w:ind w:left="720"/>
        <w:rPr>
          <w:b/>
          <w:u w:val="single"/>
        </w:rPr>
      </w:pPr>
      <w:r w:rsidRPr="00C34716">
        <w:rPr>
          <w:b/>
          <w:u w:val="single"/>
        </w:rPr>
        <w:t xml:space="preserve">Assignment </w:t>
      </w:r>
      <w:r w:rsidR="004F098E" w:rsidRPr="00C34716">
        <w:rPr>
          <w:b/>
          <w:u w:val="single"/>
        </w:rPr>
        <w:t>1</w:t>
      </w:r>
      <w:r w:rsidR="0068279B" w:rsidRPr="00C34716">
        <w:rPr>
          <w:b/>
          <w:u w:val="single"/>
        </w:rPr>
        <w:t xml:space="preserve">. </w:t>
      </w:r>
      <w:r w:rsidR="009524B6" w:rsidRPr="00C34716">
        <w:rPr>
          <w:b/>
          <w:u w:val="single"/>
        </w:rPr>
        <w:t>Review and critique</w:t>
      </w:r>
      <w:r w:rsidR="0068279B" w:rsidRPr="00C34716">
        <w:rPr>
          <w:b/>
          <w:u w:val="single"/>
        </w:rPr>
        <w:t xml:space="preserve"> </w:t>
      </w:r>
      <w:r w:rsidR="009524B6" w:rsidRPr="00C34716">
        <w:rPr>
          <w:b/>
          <w:u w:val="single"/>
        </w:rPr>
        <w:t xml:space="preserve">Cheng &amp; Hoekstra 2012. </w:t>
      </w:r>
    </w:p>
    <w:p w14:paraId="0613F71C" w14:textId="51B3AB3F" w:rsidR="009524B6" w:rsidRDefault="009524B6" w:rsidP="009524B6">
      <w:pPr>
        <w:pStyle w:val="ListParagraph"/>
        <w:numPr>
          <w:ilvl w:val="0"/>
          <w:numId w:val="8"/>
        </w:numPr>
      </w:pPr>
      <w:r>
        <w:t>Post to Sakai under assignments on Jan 23</w:t>
      </w:r>
      <w:r w:rsidR="00C34716">
        <w:t xml:space="preserve">, 5 pm. No hard copy required. </w:t>
      </w:r>
    </w:p>
    <w:p w14:paraId="48281134" w14:textId="01D13F83" w:rsidR="00F87531" w:rsidRPr="007059C9" w:rsidRDefault="009524B6" w:rsidP="009524B6">
      <w:pPr>
        <w:pStyle w:val="ListParagraph"/>
        <w:numPr>
          <w:ilvl w:val="0"/>
          <w:numId w:val="8"/>
        </w:numPr>
      </w:pPr>
      <w:r>
        <w:t xml:space="preserve">Use handout “Guidelines on Reviewing and Critiquing Papers” posted to Sakai under Resources.  </w:t>
      </w:r>
    </w:p>
    <w:p w14:paraId="02C68E78" w14:textId="77777777" w:rsidR="00C2166F" w:rsidRPr="007059C9" w:rsidRDefault="00C2166F" w:rsidP="00CA6AEE"/>
    <w:p w14:paraId="0A45F885" w14:textId="4CA61837" w:rsidR="003F063F" w:rsidRPr="007059C9" w:rsidRDefault="008B0ECD" w:rsidP="008B0ECD">
      <w:pPr>
        <w:pStyle w:val="ListParagraph"/>
        <w:numPr>
          <w:ilvl w:val="0"/>
          <w:numId w:val="5"/>
        </w:numPr>
        <w:rPr>
          <w:b/>
        </w:rPr>
      </w:pPr>
      <w:r w:rsidRPr="007059C9">
        <w:rPr>
          <w:b/>
        </w:rPr>
        <w:t xml:space="preserve">Jan. 28 – </w:t>
      </w:r>
      <w:r w:rsidR="00F87531" w:rsidRPr="007059C9">
        <w:rPr>
          <w:b/>
        </w:rPr>
        <w:t>Causality – theoretical foundations</w:t>
      </w:r>
    </w:p>
    <w:p w14:paraId="44567B7A" w14:textId="2F171C52" w:rsidR="00787B58" w:rsidRPr="007059C9" w:rsidRDefault="00787B58" w:rsidP="00F87531">
      <w:pPr>
        <w:ind w:left="720"/>
      </w:pPr>
      <w:r w:rsidRPr="007059C9">
        <w:t>Causes</w:t>
      </w:r>
      <w:r w:rsidR="00F95CC0" w:rsidRPr="007059C9">
        <w:t xml:space="preserve"> and e</w:t>
      </w:r>
      <w:r w:rsidRPr="007059C9">
        <w:t>ffects</w:t>
      </w:r>
      <w:r w:rsidR="00F87531" w:rsidRPr="007059C9">
        <w:t>; effects of causes; manipulation; causal description versus causal explanation; potential outcomes; average treatment effect</w:t>
      </w:r>
      <w:r w:rsidR="00B53490">
        <w:t xml:space="preserve"> (ATE)</w:t>
      </w:r>
      <w:r w:rsidR="00F87531" w:rsidRPr="007059C9">
        <w:t>; average treatment effect on the treated</w:t>
      </w:r>
      <w:r w:rsidR="00B53490">
        <w:t xml:space="preserve"> (ATT)</w:t>
      </w:r>
      <w:r w:rsidR="00F87531" w:rsidRPr="007059C9">
        <w:t xml:space="preserve">; average </w:t>
      </w:r>
      <w:r w:rsidR="00B75F07" w:rsidRPr="007059C9">
        <w:t>treatment effect on the control</w:t>
      </w:r>
      <w:r w:rsidR="00B53490">
        <w:t xml:space="preserve"> (ATC)</w:t>
      </w:r>
      <w:r w:rsidR="008D5838">
        <w:t xml:space="preserve">; policy evaluation and forecasting. </w:t>
      </w:r>
    </w:p>
    <w:p w14:paraId="358A5B1E" w14:textId="77777777" w:rsidR="00507D8A" w:rsidRPr="007059C9" w:rsidRDefault="00507D8A" w:rsidP="00507D8A"/>
    <w:p w14:paraId="5FB21691" w14:textId="717FE0ED" w:rsidR="00787B58" w:rsidRPr="007059C9" w:rsidRDefault="00BC2244" w:rsidP="00ED5552">
      <w:pPr>
        <w:ind w:left="720"/>
      </w:pPr>
      <w:r w:rsidRPr="007059C9">
        <w:t xml:space="preserve">Morgan &amp; </w:t>
      </w:r>
      <w:proofErr w:type="spellStart"/>
      <w:r w:rsidRPr="007059C9">
        <w:t>Winship</w:t>
      </w:r>
      <w:proofErr w:type="spellEnd"/>
      <w:r w:rsidRPr="007059C9">
        <w:t xml:space="preserve">, chapter </w:t>
      </w:r>
      <w:r w:rsidR="00787B58" w:rsidRPr="007059C9">
        <w:t>2</w:t>
      </w:r>
    </w:p>
    <w:p w14:paraId="64214258" w14:textId="77777777" w:rsidR="00BC2244" w:rsidRPr="007059C9" w:rsidRDefault="00BC2244" w:rsidP="00686D7D">
      <w:pPr>
        <w:widowControl w:val="0"/>
        <w:autoSpaceDE w:val="0"/>
        <w:autoSpaceDN w:val="0"/>
        <w:adjustRightInd w:val="0"/>
        <w:ind w:left="1440" w:hanging="720"/>
        <w:rPr>
          <w:color w:val="000000"/>
        </w:rPr>
      </w:pPr>
      <w:proofErr w:type="spellStart"/>
      <w:r w:rsidRPr="007059C9">
        <w:rPr>
          <w:color w:val="000000"/>
        </w:rPr>
        <w:t>Shadish</w:t>
      </w:r>
      <w:proofErr w:type="spellEnd"/>
      <w:r w:rsidRPr="007059C9">
        <w:rPr>
          <w:color w:val="000000"/>
        </w:rPr>
        <w:t xml:space="preserve"> William R. (2010) Campbell and Rubin: A Primer and Comparison of Their Approaches to Causal Inference in Field Settings. </w:t>
      </w:r>
      <w:r w:rsidRPr="007059C9">
        <w:rPr>
          <w:color w:val="000000"/>
          <w:u w:val="single"/>
        </w:rPr>
        <w:t xml:space="preserve">Psychological Methods </w:t>
      </w:r>
      <w:r w:rsidRPr="007059C9">
        <w:rPr>
          <w:color w:val="000000"/>
        </w:rPr>
        <w:t>15: 3-17.</w:t>
      </w:r>
    </w:p>
    <w:p w14:paraId="58A82F77" w14:textId="2498D332" w:rsidR="00BC2244" w:rsidRPr="007059C9" w:rsidRDefault="00BC2244" w:rsidP="00686D7D">
      <w:pPr>
        <w:widowControl w:val="0"/>
        <w:autoSpaceDE w:val="0"/>
        <w:autoSpaceDN w:val="0"/>
        <w:adjustRightInd w:val="0"/>
        <w:ind w:left="1440" w:hanging="720"/>
        <w:rPr>
          <w:rFonts w:cs="Times New Roman"/>
        </w:rPr>
      </w:pPr>
      <w:r w:rsidRPr="007059C9">
        <w:rPr>
          <w:rFonts w:cs="Times New Roman"/>
        </w:rPr>
        <w:t>Heckman, J. 2005. "The Scientific Model of Causality." Socio</w:t>
      </w:r>
      <w:r w:rsidR="00C34716">
        <w:rPr>
          <w:rFonts w:cs="Times New Roman"/>
        </w:rPr>
        <w:t>logical Methodology 35(1):</w:t>
      </w:r>
      <w:r w:rsidRPr="007059C9">
        <w:rPr>
          <w:rFonts w:cs="Times New Roman"/>
        </w:rPr>
        <w:t xml:space="preserve"> </w:t>
      </w:r>
      <w:r w:rsidR="00686D7D" w:rsidRPr="007059C9">
        <w:rPr>
          <w:rFonts w:cs="Palatino Linotype"/>
          <w:b/>
          <w:color w:val="000000"/>
          <w:u w:val="single"/>
        </w:rPr>
        <w:t xml:space="preserve">Excerpt: </w:t>
      </w:r>
      <w:r w:rsidR="00686D7D" w:rsidRPr="007059C9">
        <w:rPr>
          <w:rFonts w:cs="Times New Roman"/>
          <w:b/>
          <w:u w:val="single"/>
        </w:rPr>
        <w:t>pp. 1-9 only.</w:t>
      </w:r>
      <w:r w:rsidR="00686D7D" w:rsidRPr="007059C9">
        <w:rPr>
          <w:rFonts w:cs="Times New Roman"/>
        </w:rPr>
        <w:t xml:space="preserve"> </w:t>
      </w:r>
    </w:p>
    <w:p w14:paraId="58698BB3" w14:textId="641E34CB" w:rsidR="00BC2244" w:rsidRPr="007059C9" w:rsidRDefault="00686D7D" w:rsidP="00686D7D">
      <w:pPr>
        <w:widowControl w:val="0"/>
        <w:autoSpaceDE w:val="0"/>
        <w:autoSpaceDN w:val="0"/>
        <w:adjustRightInd w:val="0"/>
        <w:ind w:left="1440" w:hanging="720"/>
      </w:pPr>
      <w:r w:rsidRPr="007059C9">
        <w:rPr>
          <w:rFonts w:cs="Palatino Linotype"/>
          <w:color w:val="000000"/>
        </w:rPr>
        <w:t xml:space="preserve">Pearl, Judea. 2000. </w:t>
      </w:r>
      <w:r w:rsidRPr="007059C9">
        <w:rPr>
          <w:rFonts w:cs="Palatino Linotype"/>
          <w:i/>
          <w:iCs/>
          <w:color w:val="000000"/>
        </w:rPr>
        <w:t>Causality: Models, Reasoning, and Inference</w:t>
      </w:r>
      <w:r w:rsidRPr="007059C9">
        <w:rPr>
          <w:rFonts w:cs="Palatino Linotype"/>
          <w:color w:val="000000"/>
        </w:rPr>
        <w:t xml:space="preserve">. Cambridge: Cambridge University Press. </w:t>
      </w:r>
      <w:r w:rsidRPr="007059C9">
        <w:rPr>
          <w:rFonts w:cs="Palatino Linotype"/>
          <w:b/>
          <w:color w:val="000000"/>
          <w:u w:val="single"/>
        </w:rPr>
        <w:t>Excerpt:</w:t>
      </w:r>
      <w:r w:rsidR="00BC2244" w:rsidRPr="007059C9">
        <w:rPr>
          <w:u w:val="single"/>
        </w:rPr>
        <w:t xml:space="preserve"> </w:t>
      </w:r>
      <w:r w:rsidR="00BC2244" w:rsidRPr="007059C9">
        <w:rPr>
          <w:b/>
          <w:u w:val="single"/>
        </w:rPr>
        <w:t>Epilogue</w:t>
      </w:r>
    </w:p>
    <w:p w14:paraId="4E18A579" w14:textId="77777777" w:rsidR="00787B58" w:rsidRPr="007059C9" w:rsidRDefault="00787B58" w:rsidP="00CA6AEE"/>
    <w:p w14:paraId="6ED3A5E3" w14:textId="77777777" w:rsidR="008D5838" w:rsidRDefault="008D5838">
      <w:pPr>
        <w:rPr>
          <w:b/>
        </w:rPr>
      </w:pPr>
      <w:r>
        <w:rPr>
          <w:b/>
        </w:rPr>
        <w:br w:type="page"/>
      </w:r>
    </w:p>
    <w:p w14:paraId="5660B5DE" w14:textId="63F5FC0F" w:rsidR="00624657" w:rsidRPr="007059C9" w:rsidRDefault="008B0ECD" w:rsidP="008B0ECD">
      <w:pPr>
        <w:pStyle w:val="ListParagraph"/>
        <w:numPr>
          <w:ilvl w:val="0"/>
          <w:numId w:val="5"/>
        </w:numPr>
        <w:rPr>
          <w:b/>
        </w:rPr>
      </w:pPr>
      <w:r w:rsidRPr="007059C9">
        <w:rPr>
          <w:b/>
        </w:rPr>
        <w:t xml:space="preserve">Feb. 4 – </w:t>
      </w:r>
      <w:r w:rsidR="00624657" w:rsidRPr="007059C9">
        <w:rPr>
          <w:b/>
        </w:rPr>
        <w:t>Directed Acyclic Graphs (DAGs)</w:t>
      </w:r>
    </w:p>
    <w:p w14:paraId="61FCA37F" w14:textId="575C140C" w:rsidR="00E656A4" w:rsidRPr="007059C9" w:rsidRDefault="00B75F07" w:rsidP="00B75F07">
      <w:pPr>
        <w:ind w:left="720"/>
      </w:pPr>
      <w:r w:rsidRPr="007059C9">
        <w:t>Roots in</w:t>
      </w:r>
      <w:r w:rsidR="00624657" w:rsidRPr="007059C9">
        <w:t xml:space="preserve"> path </w:t>
      </w:r>
      <w:r w:rsidR="00E656A4" w:rsidRPr="007059C9">
        <w:t>and structural equation modeling</w:t>
      </w:r>
      <w:r w:rsidRPr="007059C9">
        <w:t>; d</w:t>
      </w:r>
      <w:r w:rsidR="00624657" w:rsidRPr="007059C9">
        <w:t>irect and indirect paths</w:t>
      </w:r>
      <w:r w:rsidRPr="007059C9">
        <w:t xml:space="preserve">; </w:t>
      </w:r>
      <w:r w:rsidR="00B53490" w:rsidRPr="007059C9">
        <w:t xml:space="preserve">mediation; moderation; </w:t>
      </w:r>
      <w:r w:rsidR="00624657" w:rsidRPr="007059C9">
        <w:t>Pearl’s back door criterion</w:t>
      </w:r>
      <w:r w:rsidRPr="007059C9">
        <w:t xml:space="preserve"> and </w:t>
      </w:r>
      <w:r w:rsidR="00E656A4" w:rsidRPr="007059C9">
        <w:t>d-separation</w:t>
      </w:r>
      <w:r w:rsidR="00B53490">
        <w:t>.</w:t>
      </w:r>
    </w:p>
    <w:p w14:paraId="11B85B26" w14:textId="77777777" w:rsidR="00686D7D" w:rsidRPr="007059C9" w:rsidRDefault="00686D7D" w:rsidP="00686D7D"/>
    <w:p w14:paraId="71480B88" w14:textId="3CC826FB" w:rsidR="00624657" w:rsidRPr="007059C9" w:rsidRDefault="00624657" w:rsidP="00686D7D">
      <w:pPr>
        <w:ind w:left="720"/>
      </w:pPr>
      <w:r w:rsidRPr="007059C9">
        <w:t xml:space="preserve">Morgan &amp; </w:t>
      </w:r>
      <w:proofErr w:type="spellStart"/>
      <w:r w:rsidRPr="007059C9">
        <w:t>Winship</w:t>
      </w:r>
      <w:proofErr w:type="spellEnd"/>
      <w:r w:rsidRPr="007059C9">
        <w:t>, chapter 3</w:t>
      </w:r>
    </w:p>
    <w:p w14:paraId="0A44B3A2" w14:textId="7500F7EF" w:rsidR="00624657" w:rsidRPr="007059C9" w:rsidRDefault="00624657" w:rsidP="00686D7D">
      <w:pPr>
        <w:widowControl w:val="0"/>
        <w:autoSpaceDE w:val="0"/>
        <w:autoSpaceDN w:val="0"/>
        <w:adjustRightInd w:val="0"/>
        <w:ind w:left="1440" w:hanging="720"/>
        <w:rPr>
          <w:rFonts w:cs="Times New Roman"/>
        </w:rPr>
      </w:pPr>
      <w:r w:rsidRPr="007059C9">
        <w:rPr>
          <w:rFonts w:cs="Times New Roman"/>
        </w:rPr>
        <w:t>Pearl, J. 2003. “Statistics and Causal Inference: A Review.” Test Journal 12(2):</w:t>
      </w:r>
      <w:r w:rsidR="00C34716">
        <w:rPr>
          <w:rFonts w:cs="Times New Roman"/>
        </w:rPr>
        <w:t xml:space="preserve"> </w:t>
      </w:r>
      <w:r w:rsidR="00C34716" w:rsidRPr="00C34716">
        <w:rPr>
          <w:rFonts w:cs="Times New Roman"/>
          <w:b/>
          <w:u w:val="single"/>
        </w:rPr>
        <w:t xml:space="preserve">Excerpt </w:t>
      </w:r>
      <w:r w:rsidRPr="00C34716">
        <w:rPr>
          <w:rFonts w:cs="Times New Roman"/>
          <w:b/>
          <w:u w:val="single"/>
        </w:rPr>
        <w:t>281-</w:t>
      </w:r>
      <w:r w:rsidR="00C34716" w:rsidRPr="00C34716">
        <w:rPr>
          <w:rFonts w:cs="Times New Roman"/>
          <w:b/>
          <w:u w:val="single"/>
        </w:rPr>
        <w:t>318 only</w:t>
      </w:r>
      <w:r w:rsidRPr="007059C9">
        <w:rPr>
          <w:rFonts w:cs="Times New Roman"/>
        </w:rPr>
        <w:t xml:space="preserve"> </w:t>
      </w:r>
      <w:r w:rsidR="00C34716">
        <w:rPr>
          <w:rFonts w:cs="Times New Roman"/>
        </w:rPr>
        <w:t>(skip discussions)</w:t>
      </w:r>
      <w:r w:rsidRPr="007059C9">
        <w:rPr>
          <w:rFonts w:cs="Times New Roman"/>
        </w:rPr>
        <w:t xml:space="preserve">.  </w:t>
      </w:r>
    </w:p>
    <w:p w14:paraId="6E95258B" w14:textId="77777777" w:rsidR="00F351F9" w:rsidRPr="007059C9" w:rsidRDefault="00F351F9" w:rsidP="00686D7D">
      <w:pPr>
        <w:widowControl w:val="0"/>
        <w:autoSpaceDE w:val="0"/>
        <w:autoSpaceDN w:val="0"/>
        <w:adjustRightInd w:val="0"/>
        <w:ind w:left="1440" w:hanging="720"/>
        <w:rPr>
          <w:rFonts w:cs="Times New Roman"/>
        </w:rPr>
      </w:pPr>
      <w:r w:rsidRPr="007059C9">
        <w:rPr>
          <w:rFonts w:cs="Times New Roman"/>
        </w:rPr>
        <w:t>Greenland, Sander, Judea Pearl, and James M. Robins. 1999. "Causal Diagrams for Epidemiologic Research." Epidemiology 10(1):37-48.</w:t>
      </w:r>
    </w:p>
    <w:p w14:paraId="755E04AF" w14:textId="2B593EB3" w:rsidR="006B15DF" w:rsidRPr="007059C9" w:rsidRDefault="006B15DF" w:rsidP="00686D7D">
      <w:pPr>
        <w:widowControl w:val="0"/>
        <w:autoSpaceDE w:val="0"/>
        <w:autoSpaceDN w:val="0"/>
        <w:adjustRightInd w:val="0"/>
        <w:ind w:left="1440" w:hanging="720"/>
        <w:rPr>
          <w:rFonts w:cs="Palatino Linotype"/>
          <w:color w:val="000000"/>
        </w:rPr>
      </w:pPr>
      <w:r w:rsidRPr="007059C9">
        <w:rPr>
          <w:rFonts w:cs="Palatino Linotype"/>
          <w:color w:val="000000"/>
        </w:rPr>
        <w:t xml:space="preserve">Pearl, Judea. 2000. </w:t>
      </w:r>
      <w:r w:rsidRPr="007059C9">
        <w:rPr>
          <w:rFonts w:cs="Palatino Linotype"/>
          <w:i/>
          <w:iCs/>
          <w:color w:val="000000"/>
        </w:rPr>
        <w:t>Causality: Models, Reasoning, and Inference</w:t>
      </w:r>
      <w:r w:rsidRPr="007059C9">
        <w:rPr>
          <w:rFonts w:cs="Palatino Linotype"/>
          <w:color w:val="000000"/>
        </w:rPr>
        <w:t xml:space="preserve">. Cambridge: Cambridge University Press. </w:t>
      </w:r>
      <w:r w:rsidRPr="007059C9">
        <w:rPr>
          <w:rFonts w:cs="Palatino Linotype"/>
          <w:b/>
          <w:color w:val="000000"/>
          <w:u w:val="single"/>
        </w:rPr>
        <w:t>Excerpt</w:t>
      </w:r>
      <w:r w:rsidR="00686D7D" w:rsidRPr="007059C9">
        <w:rPr>
          <w:rFonts w:cs="Palatino Linotype"/>
          <w:b/>
          <w:color w:val="000000"/>
          <w:u w:val="single"/>
        </w:rPr>
        <w:t>:</w:t>
      </w:r>
      <w:r w:rsidRPr="007059C9">
        <w:rPr>
          <w:rFonts w:cs="Palatino Linotype"/>
          <w:b/>
          <w:color w:val="000000"/>
          <w:u w:val="single"/>
        </w:rPr>
        <w:t xml:space="preserve"> d-separation without tears.</w:t>
      </w:r>
    </w:p>
    <w:p w14:paraId="73EF421C" w14:textId="77777777" w:rsidR="00624657" w:rsidRPr="007059C9" w:rsidRDefault="00624657" w:rsidP="00624657">
      <w:pPr>
        <w:ind w:left="1080"/>
      </w:pPr>
    </w:p>
    <w:p w14:paraId="3D69FF60" w14:textId="04D59B6D" w:rsidR="005D2EB2" w:rsidRPr="007059C9" w:rsidRDefault="00686D7D" w:rsidP="00686D7D">
      <w:pPr>
        <w:ind w:left="720"/>
        <w:rPr>
          <w:i/>
        </w:rPr>
      </w:pPr>
      <w:r w:rsidRPr="007059C9">
        <w:rPr>
          <w:i/>
        </w:rPr>
        <w:t>Background Reading</w:t>
      </w:r>
    </w:p>
    <w:p w14:paraId="741197E2" w14:textId="77777777" w:rsidR="00E656A4" w:rsidRPr="007059C9" w:rsidRDefault="00E656A4" w:rsidP="00686D7D">
      <w:pPr>
        <w:widowControl w:val="0"/>
        <w:autoSpaceDE w:val="0"/>
        <w:autoSpaceDN w:val="0"/>
        <w:adjustRightInd w:val="0"/>
        <w:ind w:left="1440" w:hanging="720"/>
        <w:rPr>
          <w:rFonts w:cs="Palatino Linotype"/>
          <w:color w:val="000000"/>
        </w:rPr>
      </w:pPr>
      <w:r w:rsidRPr="007059C9">
        <w:rPr>
          <w:rFonts w:cs="Palatino Linotype"/>
          <w:color w:val="000000"/>
        </w:rPr>
        <w:t xml:space="preserve">Pearl, Judea. 2000. </w:t>
      </w:r>
      <w:r w:rsidRPr="007059C9">
        <w:rPr>
          <w:rFonts w:cs="Palatino Linotype"/>
          <w:i/>
          <w:iCs/>
          <w:color w:val="000000"/>
        </w:rPr>
        <w:t>Causality: Models, Reasoning, and Inference</w:t>
      </w:r>
      <w:r w:rsidRPr="007059C9">
        <w:rPr>
          <w:rFonts w:cs="Palatino Linotype"/>
          <w:color w:val="000000"/>
        </w:rPr>
        <w:t>. Cambridge: Cambridge University Press.</w:t>
      </w:r>
    </w:p>
    <w:p w14:paraId="38071173" w14:textId="77777777" w:rsidR="005D2EB2" w:rsidRPr="007059C9" w:rsidRDefault="005D2EB2" w:rsidP="00686D7D">
      <w:pPr>
        <w:widowControl w:val="0"/>
        <w:autoSpaceDE w:val="0"/>
        <w:autoSpaceDN w:val="0"/>
        <w:adjustRightInd w:val="0"/>
        <w:ind w:left="1440" w:hanging="720"/>
        <w:rPr>
          <w:rFonts w:cs="Times New Roman"/>
        </w:rPr>
      </w:pPr>
      <w:r w:rsidRPr="007059C9">
        <w:rPr>
          <w:rFonts w:cs="Times New Roman"/>
        </w:rPr>
        <w:t xml:space="preserve">Pearl, J. 1995. “Causal Diagrams for Empirical Research.” </w:t>
      </w:r>
      <w:proofErr w:type="spellStart"/>
      <w:r w:rsidRPr="007059C9">
        <w:rPr>
          <w:rFonts w:cs="Times New Roman"/>
        </w:rPr>
        <w:t>Biometrika</w:t>
      </w:r>
      <w:proofErr w:type="spellEnd"/>
      <w:r w:rsidRPr="007059C9">
        <w:rPr>
          <w:rFonts w:cs="Times New Roman"/>
        </w:rPr>
        <w:t xml:space="preserve">, 82(4):669-710. Read: 669-688. </w:t>
      </w:r>
    </w:p>
    <w:p w14:paraId="432A1814" w14:textId="77777777" w:rsidR="006B15DF" w:rsidRPr="007059C9" w:rsidRDefault="006B15DF" w:rsidP="00686D7D">
      <w:pPr>
        <w:widowControl w:val="0"/>
        <w:autoSpaceDE w:val="0"/>
        <w:autoSpaceDN w:val="0"/>
        <w:adjustRightInd w:val="0"/>
        <w:ind w:left="1440" w:hanging="720"/>
        <w:rPr>
          <w:rFonts w:cs="Palatino Linotype"/>
          <w:color w:val="000000"/>
        </w:rPr>
      </w:pPr>
      <w:r w:rsidRPr="007059C9">
        <w:rPr>
          <w:rFonts w:cs="Palatino Linotype"/>
          <w:color w:val="000000"/>
        </w:rPr>
        <w:t xml:space="preserve">Greenland, Sander and Babette </w:t>
      </w:r>
      <w:proofErr w:type="spellStart"/>
      <w:r w:rsidRPr="007059C9">
        <w:rPr>
          <w:rFonts w:cs="Palatino Linotype"/>
          <w:color w:val="000000"/>
        </w:rPr>
        <w:t>Brumback</w:t>
      </w:r>
      <w:proofErr w:type="spellEnd"/>
      <w:r w:rsidRPr="007059C9">
        <w:rPr>
          <w:rFonts w:cs="Palatino Linotype"/>
          <w:color w:val="000000"/>
        </w:rPr>
        <w:t xml:space="preserve">. 2002. “An Overview of Relations among Causal Modeling Methods.“ </w:t>
      </w:r>
      <w:r w:rsidRPr="007059C9">
        <w:rPr>
          <w:rFonts w:cs="Palatino Linotype"/>
          <w:i/>
          <w:iCs/>
          <w:color w:val="000000"/>
        </w:rPr>
        <w:t xml:space="preserve">International Journal of Epidemiology </w:t>
      </w:r>
      <w:r w:rsidRPr="007059C9">
        <w:rPr>
          <w:rFonts w:cs="Palatino Linotype"/>
          <w:color w:val="000000"/>
        </w:rPr>
        <w:t xml:space="preserve">31:1030-7. </w:t>
      </w:r>
    </w:p>
    <w:p w14:paraId="7C03DA20" w14:textId="2D5B9362" w:rsidR="00624657" w:rsidRPr="007059C9" w:rsidRDefault="006B15DF" w:rsidP="00686D7D">
      <w:pPr>
        <w:widowControl w:val="0"/>
        <w:autoSpaceDE w:val="0"/>
        <w:autoSpaceDN w:val="0"/>
        <w:adjustRightInd w:val="0"/>
        <w:ind w:left="1440" w:hanging="720"/>
        <w:rPr>
          <w:rFonts w:cs="Palatino Linotype"/>
          <w:color w:val="000000"/>
        </w:rPr>
      </w:pPr>
      <w:proofErr w:type="spellStart"/>
      <w:r w:rsidRPr="007059C9">
        <w:rPr>
          <w:rFonts w:cs="Palatino Linotype"/>
          <w:color w:val="000000"/>
        </w:rPr>
        <w:t>Hernan</w:t>
      </w:r>
      <w:proofErr w:type="spellEnd"/>
      <w:r w:rsidRPr="007059C9">
        <w:rPr>
          <w:rFonts w:cs="Palatino Linotype"/>
          <w:color w:val="000000"/>
        </w:rPr>
        <w:t xml:space="preserve">, Miguel A., Sonia Hernandez-Diaz, and James M. Robins. 2004. “A Structural Approach to Selection Bias.“ </w:t>
      </w:r>
      <w:r w:rsidRPr="007059C9">
        <w:rPr>
          <w:rFonts w:cs="Palatino Linotype"/>
          <w:i/>
          <w:iCs/>
          <w:color w:val="000000"/>
        </w:rPr>
        <w:t xml:space="preserve">Epidemiology </w:t>
      </w:r>
      <w:r w:rsidRPr="007059C9">
        <w:rPr>
          <w:rFonts w:cs="Palatino Linotype"/>
          <w:color w:val="000000"/>
        </w:rPr>
        <w:t>15:615-25.</w:t>
      </w:r>
    </w:p>
    <w:p w14:paraId="3EA6484B" w14:textId="77777777" w:rsidR="009A67B5" w:rsidRPr="007059C9" w:rsidRDefault="009A67B5" w:rsidP="00CA6AEE"/>
    <w:p w14:paraId="62C176AB" w14:textId="462DD832" w:rsidR="003E5344" w:rsidRPr="007059C9" w:rsidRDefault="00F62080" w:rsidP="00F62080">
      <w:pPr>
        <w:pStyle w:val="ListParagraph"/>
        <w:numPr>
          <w:ilvl w:val="0"/>
          <w:numId w:val="5"/>
        </w:numPr>
        <w:rPr>
          <w:b/>
        </w:rPr>
      </w:pPr>
      <w:r w:rsidRPr="007059C9">
        <w:rPr>
          <w:b/>
        </w:rPr>
        <w:t xml:space="preserve">Feb. 11 – </w:t>
      </w:r>
      <w:r w:rsidR="003E5344" w:rsidRPr="007059C9">
        <w:rPr>
          <w:b/>
        </w:rPr>
        <w:t>Ex</w:t>
      </w:r>
      <w:r w:rsidR="009A67B5" w:rsidRPr="007059C9">
        <w:rPr>
          <w:b/>
        </w:rPr>
        <w:t xml:space="preserve">periments </w:t>
      </w:r>
    </w:p>
    <w:p w14:paraId="7737DDF8" w14:textId="7CBEB1A2" w:rsidR="00A820EF" w:rsidRPr="007059C9" w:rsidRDefault="00C00649" w:rsidP="00B75F07">
      <w:pPr>
        <w:ind w:left="720"/>
      </w:pPr>
      <w:r w:rsidRPr="007059C9">
        <w:t>Rationale</w:t>
      </w:r>
      <w:r w:rsidR="00B75F07" w:rsidRPr="007059C9">
        <w:t>; s</w:t>
      </w:r>
      <w:r w:rsidRPr="007059C9">
        <w:t>trengths</w:t>
      </w:r>
      <w:r w:rsidR="00CA6AEE" w:rsidRPr="007059C9">
        <w:t>; l</w:t>
      </w:r>
      <w:r w:rsidRPr="007059C9">
        <w:t>imitations</w:t>
      </w:r>
      <w:r w:rsidR="00B75F07" w:rsidRPr="007059C9">
        <w:t>; r</w:t>
      </w:r>
      <w:r w:rsidR="00A820EF" w:rsidRPr="007059C9">
        <w:t>ecruitment</w:t>
      </w:r>
      <w:r w:rsidR="00B75F07" w:rsidRPr="007059C9">
        <w:t>; generalizability; c</w:t>
      </w:r>
      <w:r w:rsidR="00A820EF" w:rsidRPr="007059C9">
        <w:t>ompliance</w:t>
      </w:r>
      <w:r w:rsidR="00B75F07" w:rsidRPr="007059C9">
        <w:t>; a</w:t>
      </w:r>
      <w:r w:rsidR="00A820EF" w:rsidRPr="007059C9">
        <w:t>ttrition</w:t>
      </w:r>
      <w:r w:rsidR="00B75F07" w:rsidRPr="007059C9">
        <w:t>; i</w:t>
      </w:r>
      <w:r w:rsidR="00A820EF" w:rsidRPr="007059C9">
        <w:t>ntent to treat</w:t>
      </w:r>
      <w:r w:rsidR="00851C09" w:rsidRPr="007059C9">
        <w:t xml:space="preserve"> (ITT)</w:t>
      </w:r>
      <w:r w:rsidR="00B75F07" w:rsidRPr="007059C9">
        <w:t>; cluster randomized trials</w:t>
      </w:r>
    </w:p>
    <w:p w14:paraId="17D65E26" w14:textId="77777777" w:rsidR="00507D8A" w:rsidRPr="007059C9" w:rsidRDefault="00507D8A" w:rsidP="00507D8A"/>
    <w:p w14:paraId="5BB005EF" w14:textId="2CBCD405" w:rsidR="00A820EF" w:rsidRPr="007059C9" w:rsidRDefault="00317054" w:rsidP="00507D8A">
      <w:pPr>
        <w:ind w:left="720"/>
      </w:pPr>
      <w:proofErr w:type="spellStart"/>
      <w:r w:rsidRPr="007059C9">
        <w:t>Murnane</w:t>
      </w:r>
      <w:proofErr w:type="spellEnd"/>
      <w:r w:rsidRPr="007059C9">
        <w:t xml:space="preserve"> &amp; Willett</w:t>
      </w:r>
      <w:r w:rsidR="008426D9" w:rsidRPr="007059C9">
        <w:t>, chapters</w:t>
      </w:r>
      <w:r w:rsidRPr="007059C9">
        <w:t xml:space="preserve"> 4-7</w:t>
      </w:r>
    </w:p>
    <w:p w14:paraId="1D65C993" w14:textId="77777777" w:rsidR="00CC5FF3" w:rsidRPr="007059C9" w:rsidRDefault="00CC5FF3" w:rsidP="00CC5FF3">
      <w:pPr>
        <w:pStyle w:val="cite"/>
        <w:rPr>
          <w:sz w:val="24"/>
          <w:szCs w:val="24"/>
        </w:rPr>
      </w:pPr>
    </w:p>
    <w:p w14:paraId="75DC369F" w14:textId="657FE7C8" w:rsidR="00686D7D" w:rsidRPr="007059C9" w:rsidRDefault="00DD22BD" w:rsidP="00686D7D">
      <w:pPr>
        <w:ind w:left="720"/>
        <w:rPr>
          <w:i/>
        </w:rPr>
      </w:pPr>
      <w:r w:rsidRPr="007059C9">
        <w:rPr>
          <w:i/>
        </w:rPr>
        <w:t>Applications</w:t>
      </w:r>
    </w:p>
    <w:p w14:paraId="211AB08B" w14:textId="77777777" w:rsidR="00317054" w:rsidRPr="007059C9" w:rsidRDefault="00317054" w:rsidP="00686D7D">
      <w:pPr>
        <w:widowControl w:val="0"/>
        <w:autoSpaceDE w:val="0"/>
        <w:autoSpaceDN w:val="0"/>
        <w:adjustRightInd w:val="0"/>
        <w:ind w:left="1440" w:hanging="720"/>
        <w:rPr>
          <w:rFonts w:cs="Times"/>
        </w:rPr>
      </w:pPr>
      <w:r w:rsidRPr="007059C9">
        <w:rPr>
          <w:rFonts w:cs="Times"/>
        </w:rPr>
        <w:t xml:space="preserve">Pager, </w:t>
      </w:r>
      <w:proofErr w:type="spellStart"/>
      <w:r w:rsidRPr="007059C9">
        <w:rPr>
          <w:rFonts w:cs="Times"/>
        </w:rPr>
        <w:t>Devah</w:t>
      </w:r>
      <w:proofErr w:type="spellEnd"/>
      <w:r w:rsidRPr="007059C9">
        <w:rPr>
          <w:rFonts w:cs="Times"/>
        </w:rPr>
        <w:t xml:space="preserve">. 2003. "The Mark of a Criminal Record." </w:t>
      </w:r>
      <w:r w:rsidRPr="007059C9">
        <w:rPr>
          <w:rFonts w:cs="Times"/>
          <w:i/>
          <w:iCs/>
        </w:rPr>
        <w:t xml:space="preserve">American Journal of Sociology </w:t>
      </w:r>
      <w:r w:rsidRPr="007059C9">
        <w:rPr>
          <w:rFonts w:cs="Times"/>
        </w:rPr>
        <w:t>108: 937- 975.</w:t>
      </w:r>
    </w:p>
    <w:p w14:paraId="532F44A9" w14:textId="77777777" w:rsidR="00317054" w:rsidRPr="007059C9" w:rsidRDefault="00317054" w:rsidP="00686D7D">
      <w:pPr>
        <w:widowControl w:val="0"/>
        <w:autoSpaceDE w:val="0"/>
        <w:autoSpaceDN w:val="0"/>
        <w:adjustRightInd w:val="0"/>
        <w:ind w:left="1440" w:hanging="720"/>
        <w:rPr>
          <w:rFonts w:cs="Times New Roman"/>
        </w:rPr>
      </w:pPr>
      <w:r w:rsidRPr="007059C9">
        <w:rPr>
          <w:rFonts w:cs="Times New Roman"/>
        </w:rPr>
        <w:t xml:space="preserve">Katz, L.F., Kling, J.R., and </w:t>
      </w:r>
      <w:proofErr w:type="spellStart"/>
      <w:r w:rsidRPr="007059C9">
        <w:rPr>
          <w:rFonts w:cs="Times New Roman"/>
        </w:rPr>
        <w:t>Liebman</w:t>
      </w:r>
      <w:proofErr w:type="spellEnd"/>
      <w:r w:rsidRPr="007059C9">
        <w:rPr>
          <w:rFonts w:cs="Times New Roman"/>
        </w:rPr>
        <w:t>, J.B. (2001) “Moving to Opportunity in Boston: Early Results of a Randomized Mobility Experiment” The Quarterly Journal of Economics 116: 607-654.</w:t>
      </w:r>
    </w:p>
    <w:p w14:paraId="7CDFFE5C" w14:textId="77777777" w:rsidR="00686D7D" w:rsidRPr="007059C9" w:rsidRDefault="00686D7D" w:rsidP="00686D7D">
      <w:pPr>
        <w:widowControl w:val="0"/>
        <w:autoSpaceDE w:val="0"/>
        <w:autoSpaceDN w:val="0"/>
        <w:adjustRightInd w:val="0"/>
        <w:ind w:left="1440" w:hanging="720"/>
        <w:rPr>
          <w:rFonts w:cs="Times New Roman"/>
        </w:rPr>
      </w:pPr>
    </w:p>
    <w:p w14:paraId="5E4EA9A9" w14:textId="3077BED0" w:rsidR="00317054" w:rsidRPr="007059C9" w:rsidRDefault="00686D7D" w:rsidP="00686D7D">
      <w:pPr>
        <w:ind w:left="720"/>
        <w:rPr>
          <w:i/>
        </w:rPr>
      </w:pPr>
      <w:r w:rsidRPr="007059C9">
        <w:rPr>
          <w:i/>
        </w:rPr>
        <w:t>Background</w:t>
      </w:r>
    </w:p>
    <w:p w14:paraId="236151C3" w14:textId="77777777" w:rsidR="0027410B" w:rsidRPr="007059C9" w:rsidRDefault="0027410B" w:rsidP="0027410B">
      <w:pPr>
        <w:pStyle w:val="cite"/>
        <w:rPr>
          <w:sz w:val="24"/>
          <w:szCs w:val="24"/>
        </w:rPr>
      </w:pPr>
      <w:proofErr w:type="spellStart"/>
      <w:r w:rsidRPr="007059C9">
        <w:rPr>
          <w:sz w:val="24"/>
          <w:szCs w:val="24"/>
        </w:rPr>
        <w:t>Berk</w:t>
      </w:r>
      <w:proofErr w:type="spellEnd"/>
      <w:r w:rsidRPr="007059C9">
        <w:rPr>
          <w:sz w:val="24"/>
          <w:szCs w:val="24"/>
        </w:rPr>
        <w:t xml:space="preserve">, R. A. (2005). Randomized experiments as the bronze standard. </w:t>
      </w:r>
      <w:r w:rsidRPr="007059C9">
        <w:rPr>
          <w:i/>
          <w:iCs/>
          <w:sz w:val="24"/>
          <w:szCs w:val="24"/>
        </w:rPr>
        <w:t>Journal of Experimental Criminology, 1</w:t>
      </w:r>
      <w:r w:rsidRPr="007059C9">
        <w:rPr>
          <w:sz w:val="24"/>
          <w:szCs w:val="24"/>
        </w:rPr>
        <w:t xml:space="preserve">(4), 417-433. </w:t>
      </w:r>
    </w:p>
    <w:p w14:paraId="26E3880B" w14:textId="77777777" w:rsidR="00317054" w:rsidRPr="007059C9" w:rsidRDefault="00317054" w:rsidP="00686D7D">
      <w:pPr>
        <w:widowControl w:val="0"/>
        <w:autoSpaceDE w:val="0"/>
        <w:autoSpaceDN w:val="0"/>
        <w:adjustRightInd w:val="0"/>
        <w:ind w:left="1440" w:hanging="720"/>
        <w:rPr>
          <w:rFonts w:cs="Times New Roman"/>
        </w:rPr>
      </w:pPr>
      <w:proofErr w:type="spellStart"/>
      <w:r w:rsidRPr="007059C9">
        <w:rPr>
          <w:rFonts w:cs="Times New Roman"/>
        </w:rPr>
        <w:t>Burtless</w:t>
      </w:r>
      <w:proofErr w:type="spellEnd"/>
      <w:r w:rsidRPr="007059C9">
        <w:rPr>
          <w:rFonts w:cs="Times New Roman"/>
        </w:rPr>
        <w:t>, G. (1995). "The Case for Randomized Field Trials in Economic and Policy Research." Journal of Economic Perspectives 9: 63-84.</w:t>
      </w:r>
    </w:p>
    <w:p w14:paraId="5769DEFC" w14:textId="382E1698" w:rsidR="00317054" w:rsidRPr="007059C9" w:rsidRDefault="00317054" w:rsidP="00686D7D">
      <w:pPr>
        <w:widowControl w:val="0"/>
        <w:autoSpaceDE w:val="0"/>
        <w:autoSpaceDN w:val="0"/>
        <w:adjustRightInd w:val="0"/>
        <w:ind w:left="1440" w:hanging="720"/>
      </w:pPr>
      <w:r w:rsidRPr="007059C9">
        <w:t xml:space="preserve">Cook, T. D. (2002). Randomized experiments in educational policy research: A critical examination of the reasons that the educational evaluation community has offered for not doing them. </w:t>
      </w:r>
      <w:r w:rsidRPr="007059C9">
        <w:rPr>
          <w:i/>
          <w:iCs/>
        </w:rPr>
        <w:t>Educational Evaluation and Policy Analysis, 24</w:t>
      </w:r>
      <w:r w:rsidRPr="007059C9">
        <w:t>(3), 175-199.</w:t>
      </w:r>
    </w:p>
    <w:p w14:paraId="0ACFA1F9" w14:textId="77777777" w:rsidR="00317054" w:rsidRPr="007059C9" w:rsidRDefault="00317054" w:rsidP="00787B58"/>
    <w:p w14:paraId="51724540" w14:textId="77777777" w:rsidR="008D5838" w:rsidRDefault="008D5838">
      <w:pPr>
        <w:rPr>
          <w:b/>
        </w:rPr>
      </w:pPr>
      <w:r>
        <w:rPr>
          <w:b/>
        </w:rPr>
        <w:br w:type="page"/>
      </w:r>
    </w:p>
    <w:p w14:paraId="576BB2DE" w14:textId="488FD885" w:rsidR="00E656A4" w:rsidRPr="007059C9" w:rsidRDefault="00F62080" w:rsidP="00F62080">
      <w:pPr>
        <w:pStyle w:val="ListParagraph"/>
        <w:numPr>
          <w:ilvl w:val="0"/>
          <w:numId w:val="5"/>
        </w:numPr>
        <w:rPr>
          <w:b/>
        </w:rPr>
      </w:pPr>
      <w:r w:rsidRPr="007059C9">
        <w:rPr>
          <w:b/>
        </w:rPr>
        <w:t xml:space="preserve">Feb 18. – </w:t>
      </w:r>
      <w:r w:rsidR="001D281F" w:rsidRPr="007059C9">
        <w:rPr>
          <w:b/>
        </w:rPr>
        <w:t>Naïve regression</w:t>
      </w:r>
      <w:r w:rsidRPr="007059C9">
        <w:rPr>
          <w:b/>
        </w:rPr>
        <w:t xml:space="preserve"> estimates of causal effects / n</w:t>
      </w:r>
      <w:r w:rsidR="001D281F" w:rsidRPr="007059C9">
        <w:rPr>
          <w:b/>
        </w:rPr>
        <w:t>atural experiments</w:t>
      </w:r>
    </w:p>
    <w:p w14:paraId="4D8849F9" w14:textId="30A21691" w:rsidR="00FA6817" w:rsidRPr="007059C9" w:rsidRDefault="00FA6817" w:rsidP="00FA6817">
      <w:pPr>
        <w:ind w:left="720"/>
      </w:pPr>
      <w:r w:rsidRPr="007059C9">
        <w:t xml:space="preserve">Strong assumptions under which standard regression estimates can be considered causal; </w:t>
      </w:r>
      <w:r w:rsidR="000B6AF6" w:rsidRPr="007059C9">
        <w:t xml:space="preserve">threats to the validity of naïve regression estimates; selection bias; reverse causation; </w:t>
      </w:r>
      <w:r w:rsidRPr="007059C9">
        <w:t>how to include design elements in studies to improve causal inference; investigator-designed versus “natural” experiments</w:t>
      </w:r>
    </w:p>
    <w:p w14:paraId="3AD4961D" w14:textId="77777777" w:rsidR="00E656A4" w:rsidRPr="007059C9" w:rsidRDefault="00E656A4" w:rsidP="00E656A4">
      <w:pPr>
        <w:pStyle w:val="ListParagraph"/>
        <w:ind w:left="1440"/>
      </w:pPr>
    </w:p>
    <w:p w14:paraId="20DDB632" w14:textId="561F798D" w:rsidR="001D281F" w:rsidRPr="007059C9" w:rsidRDefault="001D281F" w:rsidP="00686D7D">
      <w:pPr>
        <w:widowControl w:val="0"/>
        <w:autoSpaceDE w:val="0"/>
        <w:autoSpaceDN w:val="0"/>
        <w:adjustRightInd w:val="0"/>
        <w:ind w:left="1440" w:hanging="720"/>
        <w:rPr>
          <w:rFonts w:cs="Times New Roman"/>
        </w:rPr>
      </w:pPr>
      <w:proofErr w:type="spellStart"/>
      <w:r w:rsidRPr="007059C9">
        <w:rPr>
          <w:rFonts w:cs="Times New Roman"/>
        </w:rPr>
        <w:t>Gelman</w:t>
      </w:r>
      <w:proofErr w:type="spellEnd"/>
      <w:r w:rsidRPr="007059C9">
        <w:rPr>
          <w:rFonts w:cs="Times New Roman"/>
        </w:rPr>
        <w:t xml:space="preserve">, Andrew, and Jennifer Hill. 2007. Data Analysis Using Regression and Multilevel/Hierarchical Models. Cambridge: Cambridge University Press. Chapter 9. </w:t>
      </w:r>
    </w:p>
    <w:p w14:paraId="7EE1AC94" w14:textId="613BA761" w:rsidR="00686D7D" w:rsidRPr="007059C9" w:rsidRDefault="00686D7D" w:rsidP="00686D7D">
      <w:pPr>
        <w:widowControl w:val="0"/>
        <w:autoSpaceDE w:val="0"/>
        <w:autoSpaceDN w:val="0"/>
        <w:adjustRightInd w:val="0"/>
        <w:ind w:left="1440" w:hanging="720"/>
        <w:rPr>
          <w:rFonts w:cs="Times New Roman"/>
        </w:rPr>
      </w:pPr>
      <w:proofErr w:type="spellStart"/>
      <w:r w:rsidRPr="007059C9">
        <w:rPr>
          <w:rFonts w:cs="Times New Roman"/>
        </w:rPr>
        <w:t>Murnane</w:t>
      </w:r>
      <w:proofErr w:type="spellEnd"/>
      <w:r w:rsidRPr="007059C9">
        <w:rPr>
          <w:rFonts w:cs="Times New Roman"/>
        </w:rPr>
        <w:t xml:space="preserve"> &amp; Willett, chapter 8</w:t>
      </w:r>
    </w:p>
    <w:p w14:paraId="3D037B0B" w14:textId="6DF7EE18" w:rsidR="001D281F" w:rsidRPr="007059C9" w:rsidRDefault="001D281F" w:rsidP="00686D7D">
      <w:pPr>
        <w:ind w:left="1440" w:hanging="720"/>
        <w:rPr>
          <w:color w:val="000000"/>
        </w:rPr>
      </w:pPr>
      <w:proofErr w:type="spellStart"/>
      <w:r w:rsidRPr="007059C9">
        <w:rPr>
          <w:color w:val="000000"/>
        </w:rPr>
        <w:t>Angrist</w:t>
      </w:r>
      <w:proofErr w:type="spellEnd"/>
      <w:r w:rsidRPr="007059C9">
        <w:rPr>
          <w:color w:val="000000"/>
        </w:rPr>
        <w:t xml:space="preserve">, J. &amp; </w:t>
      </w:r>
      <w:proofErr w:type="spellStart"/>
      <w:r w:rsidRPr="007059C9">
        <w:rPr>
          <w:color w:val="000000"/>
        </w:rPr>
        <w:t>Pischike</w:t>
      </w:r>
      <w:proofErr w:type="spellEnd"/>
      <w:r w:rsidRPr="007059C9">
        <w:rPr>
          <w:color w:val="000000"/>
        </w:rPr>
        <w:t>, J-S (2010) The Credibility Revolution in Economics: How Better Research Design is Taking the Con Out of Econometrics. Jo</w:t>
      </w:r>
      <w:r w:rsidR="008D5838">
        <w:rPr>
          <w:color w:val="000000"/>
        </w:rPr>
        <w:t>urnal of Economic Perspectives.</w:t>
      </w:r>
    </w:p>
    <w:p w14:paraId="4994361A" w14:textId="77777777" w:rsidR="001D281F" w:rsidRPr="007059C9" w:rsidRDefault="001D281F" w:rsidP="00686D7D">
      <w:pPr>
        <w:ind w:left="1440" w:hanging="720"/>
        <w:rPr>
          <w:color w:val="000000"/>
        </w:rPr>
      </w:pPr>
      <w:r w:rsidRPr="007059C9">
        <w:rPr>
          <w:color w:val="000000"/>
        </w:rPr>
        <w:t>Rubin (2008) For objective causal inference, design trumps analysis.  The Annals of Applied Statistics 2: 808-840. Read only: pp. 808-815</w:t>
      </w:r>
    </w:p>
    <w:p w14:paraId="3604CF06" w14:textId="77777777" w:rsidR="00633F7C" w:rsidRPr="007059C9" w:rsidRDefault="00633F7C" w:rsidP="00686D7D">
      <w:pPr>
        <w:rPr>
          <w:color w:val="000000"/>
        </w:rPr>
      </w:pPr>
    </w:p>
    <w:p w14:paraId="76EBDE76" w14:textId="23AFC00B" w:rsidR="00DD22BD" w:rsidRPr="007059C9" w:rsidRDefault="00DD22BD" w:rsidP="00DD22BD">
      <w:pPr>
        <w:ind w:left="720"/>
        <w:rPr>
          <w:i/>
          <w:color w:val="000000"/>
        </w:rPr>
      </w:pPr>
      <w:r w:rsidRPr="007059C9">
        <w:rPr>
          <w:i/>
          <w:color w:val="000000"/>
        </w:rPr>
        <w:t>Applications</w:t>
      </w:r>
    </w:p>
    <w:p w14:paraId="28671A86" w14:textId="5086E319" w:rsidR="00DD22BD" w:rsidRPr="007059C9" w:rsidRDefault="00CC5FF3" w:rsidP="00DD22BD">
      <w:pPr>
        <w:ind w:left="720"/>
        <w:rPr>
          <w:color w:val="000000"/>
        </w:rPr>
      </w:pPr>
      <w:r w:rsidRPr="007059C9">
        <w:rPr>
          <w:color w:val="000000"/>
        </w:rPr>
        <w:t>TBA</w:t>
      </w:r>
    </w:p>
    <w:p w14:paraId="51C249E8" w14:textId="77777777" w:rsidR="00DD22BD" w:rsidRPr="007059C9" w:rsidRDefault="00DD22BD" w:rsidP="00686D7D">
      <w:pPr>
        <w:rPr>
          <w:color w:val="000000"/>
        </w:rPr>
      </w:pPr>
    </w:p>
    <w:p w14:paraId="7186EBAC" w14:textId="3C4576E8" w:rsidR="00633F7C" w:rsidRPr="007059C9" w:rsidRDefault="0027410B" w:rsidP="00686D7D">
      <w:pPr>
        <w:ind w:left="1440" w:hanging="720"/>
        <w:rPr>
          <w:i/>
          <w:color w:val="000000"/>
        </w:rPr>
      </w:pPr>
      <w:r w:rsidRPr="007059C9">
        <w:rPr>
          <w:i/>
          <w:color w:val="000000"/>
        </w:rPr>
        <w:t>Background</w:t>
      </w:r>
    </w:p>
    <w:p w14:paraId="63322A34" w14:textId="009C3E05" w:rsidR="00633F7C" w:rsidRPr="007059C9" w:rsidRDefault="00633F7C" w:rsidP="00686D7D">
      <w:pPr>
        <w:ind w:left="1440" w:hanging="720"/>
        <w:rPr>
          <w:color w:val="000000"/>
        </w:rPr>
      </w:pPr>
      <w:r w:rsidRPr="007059C9">
        <w:rPr>
          <w:color w:val="000000"/>
        </w:rPr>
        <w:t xml:space="preserve">Meyer, Bruce D. (1995) </w:t>
      </w:r>
      <w:r w:rsidRPr="007059C9">
        <w:rPr>
          <w:bCs/>
          <w:color w:val="000000"/>
        </w:rPr>
        <w:t xml:space="preserve">Natural and quasi-experiments in economics. </w:t>
      </w:r>
      <w:r w:rsidRPr="007059C9">
        <w:rPr>
          <w:iCs/>
          <w:color w:val="000000"/>
          <w:u w:val="single"/>
        </w:rPr>
        <w:t>Journal of Business &amp; Economic Statistics</w:t>
      </w:r>
      <w:r w:rsidRPr="007059C9">
        <w:rPr>
          <w:color w:val="000000"/>
        </w:rPr>
        <w:t xml:space="preserve"> 13, 151-161.</w:t>
      </w:r>
    </w:p>
    <w:p w14:paraId="61E853AE" w14:textId="77777777" w:rsidR="00E656A4" w:rsidRDefault="00E656A4" w:rsidP="00787B58"/>
    <w:p w14:paraId="45425443" w14:textId="5F54275C" w:rsidR="00525C38" w:rsidRPr="00525C38" w:rsidRDefault="00525C38" w:rsidP="00525C38">
      <w:pPr>
        <w:ind w:left="720"/>
        <w:rPr>
          <w:b/>
          <w:u w:val="single"/>
        </w:rPr>
      </w:pPr>
      <w:r w:rsidRPr="00525C38">
        <w:rPr>
          <w:b/>
          <w:u w:val="single"/>
        </w:rPr>
        <w:t>Assignment 2 Due, 2 p.m. - TBA</w:t>
      </w:r>
    </w:p>
    <w:p w14:paraId="1CA77585" w14:textId="77777777" w:rsidR="00525C38" w:rsidRPr="007059C9" w:rsidRDefault="00525C38" w:rsidP="00787B58"/>
    <w:p w14:paraId="6302C55B" w14:textId="31CAFC37" w:rsidR="00ED5552" w:rsidRPr="007059C9" w:rsidRDefault="00F62080" w:rsidP="00F62080">
      <w:pPr>
        <w:pStyle w:val="ListParagraph"/>
        <w:numPr>
          <w:ilvl w:val="0"/>
          <w:numId w:val="5"/>
        </w:numPr>
        <w:rPr>
          <w:b/>
        </w:rPr>
      </w:pPr>
      <w:r w:rsidRPr="007059C9">
        <w:rPr>
          <w:b/>
        </w:rPr>
        <w:t xml:space="preserve">Feb. 25 – </w:t>
      </w:r>
      <w:r w:rsidR="00ED5552" w:rsidRPr="007059C9">
        <w:rPr>
          <w:b/>
        </w:rPr>
        <w:t>Instrumental variables</w:t>
      </w:r>
    </w:p>
    <w:p w14:paraId="683CE0AE" w14:textId="1B15E77E" w:rsidR="00ED5552" w:rsidRPr="007059C9" w:rsidRDefault="00ED5552" w:rsidP="00FA6817">
      <w:pPr>
        <w:ind w:left="720"/>
      </w:pPr>
      <w:r w:rsidRPr="007059C9">
        <w:t>Random assignment as the ideal instrument</w:t>
      </w:r>
      <w:r w:rsidR="00FA6817" w:rsidRPr="007059C9">
        <w:t>; p</w:t>
      </w:r>
      <w:r w:rsidR="00CE4688" w:rsidRPr="007059C9">
        <w:t xml:space="preserve">lausibly </w:t>
      </w:r>
      <w:r w:rsidR="00FA6817" w:rsidRPr="007059C9">
        <w:t xml:space="preserve">exogenous </w:t>
      </w:r>
      <w:r w:rsidR="000B6AF6" w:rsidRPr="007059C9">
        <w:t xml:space="preserve">policy change </w:t>
      </w:r>
      <w:r w:rsidR="00CE4688" w:rsidRPr="007059C9">
        <w:t>instruments</w:t>
      </w:r>
      <w:r w:rsidR="008D5838">
        <w:t>.</w:t>
      </w:r>
    </w:p>
    <w:p w14:paraId="7C5A1DC7" w14:textId="77777777" w:rsidR="00ED5552" w:rsidRPr="007059C9" w:rsidRDefault="00ED5552" w:rsidP="00FA6817"/>
    <w:p w14:paraId="38A1880E" w14:textId="5ABEB050" w:rsidR="00C600A4" w:rsidRPr="007059C9" w:rsidRDefault="00C600A4" w:rsidP="00C2166F">
      <w:pPr>
        <w:ind w:left="720"/>
      </w:pPr>
      <w:r w:rsidRPr="007059C9">
        <w:t xml:space="preserve">Morgan and </w:t>
      </w:r>
      <w:proofErr w:type="spellStart"/>
      <w:r w:rsidRPr="007059C9">
        <w:t>Winship</w:t>
      </w:r>
      <w:proofErr w:type="spellEnd"/>
      <w:r w:rsidRPr="007059C9">
        <w:t>, chapter 7</w:t>
      </w:r>
    </w:p>
    <w:p w14:paraId="5966E07B" w14:textId="61C319A9" w:rsidR="00C600A4" w:rsidRPr="007059C9" w:rsidRDefault="00C600A4" w:rsidP="00C2166F">
      <w:pPr>
        <w:ind w:left="720"/>
      </w:pPr>
      <w:proofErr w:type="spellStart"/>
      <w:r w:rsidRPr="007059C9">
        <w:t>Murnane</w:t>
      </w:r>
      <w:proofErr w:type="spellEnd"/>
      <w:r w:rsidRPr="007059C9">
        <w:t xml:space="preserve"> and Willett, </w:t>
      </w:r>
      <w:r w:rsidR="00CC5FF3" w:rsidRPr="007059C9">
        <w:t xml:space="preserve">chapters </w:t>
      </w:r>
      <w:r w:rsidRPr="007059C9">
        <w:t>10-11</w:t>
      </w:r>
    </w:p>
    <w:p w14:paraId="162EF7E3" w14:textId="0503E909" w:rsidR="00C600A4" w:rsidRPr="007059C9" w:rsidRDefault="00C600A4" w:rsidP="00686D7D">
      <w:pPr>
        <w:widowControl w:val="0"/>
        <w:autoSpaceDE w:val="0"/>
        <w:autoSpaceDN w:val="0"/>
        <w:adjustRightInd w:val="0"/>
        <w:ind w:left="1440" w:hanging="720"/>
        <w:rPr>
          <w:rFonts w:cs="Times"/>
        </w:rPr>
      </w:pPr>
      <w:proofErr w:type="spellStart"/>
      <w:r w:rsidRPr="007059C9">
        <w:rPr>
          <w:rFonts w:cs="Times"/>
        </w:rPr>
        <w:t>Angrist</w:t>
      </w:r>
      <w:proofErr w:type="spellEnd"/>
      <w:r w:rsidRPr="007059C9">
        <w:rPr>
          <w:rFonts w:cs="Times"/>
        </w:rPr>
        <w:t xml:space="preserve">, Joshua and Alan B. Krueger. 2001. "Instrumental Variables and the Search for Identification: From Supply and Demand to Natural Experiments." </w:t>
      </w:r>
      <w:r w:rsidRPr="007059C9">
        <w:rPr>
          <w:rFonts w:cs="Times"/>
          <w:i/>
          <w:iCs/>
        </w:rPr>
        <w:t xml:space="preserve">Journal of Economic Perspectives </w:t>
      </w:r>
      <w:r w:rsidRPr="007059C9">
        <w:rPr>
          <w:rFonts w:cs="Times"/>
        </w:rPr>
        <w:t xml:space="preserve">15:69-85. </w:t>
      </w:r>
    </w:p>
    <w:p w14:paraId="607EE0E6" w14:textId="77777777" w:rsidR="00C600A4" w:rsidRPr="007059C9" w:rsidRDefault="00C600A4" w:rsidP="00C2166F">
      <w:pPr>
        <w:ind w:left="720"/>
      </w:pPr>
    </w:p>
    <w:p w14:paraId="020FBFFD" w14:textId="7A590EB6" w:rsidR="00686D7D" w:rsidRPr="007059C9" w:rsidRDefault="00DD22BD" w:rsidP="00C2166F">
      <w:pPr>
        <w:ind w:left="720"/>
        <w:rPr>
          <w:i/>
        </w:rPr>
      </w:pPr>
      <w:r w:rsidRPr="007059C9">
        <w:rPr>
          <w:i/>
        </w:rPr>
        <w:t>Applications</w:t>
      </w:r>
    </w:p>
    <w:p w14:paraId="4869AACC" w14:textId="77777777" w:rsidR="00C600A4" w:rsidRPr="007059C9" w:rsidRDefault="00C600A4" w:rsidP="00DD22BD">
      <w:pPr>
        <w:widowControl w:val="0"/>
        <w:autoSpaceDE w:val="0"/>
        <w:autoSpaceDN w:val="0"/>
        <w:adjustRightInd w:val="0"/>
        <w:ind w:left="1440" w:hanging="720"/>
        <w:rPr>
          <w:rFonts w:cs="Times New Roman"/>
        </w:rPr>
      </w:pPr>
      <w:proofErr w:type="spellStart"/>
      <w:r w:rsidRPr="007059C9">
        <w:rPr>
          <w:rFonts w:cs="Times New Roman"/>
        </w:rPr>
        <w:t>Angrist</w:t>
      </w:r>
      <w:proofErr w:type="spellEnd"/>
      <w:r w:rsidRPr="007059C9">
        <w:rPr>
          <w:rFonts w:cs="Times New Roman"/>
        </w:rPr>
        <w:t>, J. 1990. "Lifetime Earnings and the Vietnam Era Draft Lottery: Evidence from Social Security Administrative Records." American Economic Review 80(3): 313-336.</w:t>
      </w:r>
    </w:p>
    <w:p w14:paraId="22BDC3A5" w14:textId="77777777" w:rsidR="00C600A4" w:rsidRPr="007059C9" w:rsidRDefault="00C600A4" w:rsidP="00DD22BD">
      <w:pPr>
        <w:widowControl w:val="0"/>
        <w:autoSpaceDE w:val="0"/>
        <w:autoSpaceDN w:val="0"/>
        <w:adjustRightInd w:val="0"/>
        <w:ind w:left="1440" w:hanging="720"/>
        <w:rPr>
          <w:rFonts w:cs="Times"/>
          <w:i/>
          <w:iCs/>
        </w:rPr>
      </w:pPr>
      <w:r w:rsidRPr="007059C9">
        <w:rPr>
          <w:rFonts w:cs="Times"/>
        </w:rPr>
        <w:t xml:space="preserve">Neal, Derek. 1997. "The effects of Catholic secondary schooling on educational achievement." </w:t>
      </w:r>
      <w:r w:rsidRPr="007059C9">
        <w:rPr>
          <w:rFonts w:cs="Times"/>
          <w:i/>
          <w:iCs/>
        </w:rPr>
        <w:t xml:space="preserve">Journal of Labor Economics </w:t>
      </w:r>
      <w:r w:rsidRPr="007059C9">
        <w:rPr>
          <w:rFonts w:cs="Times"/>
        </w:rPr>
        <w:t xml:space="preserve">11:98-123. </w:t>
      </w:r>
      <w:r w:rsidRPr="007059C9">
        <w:rPr>
          <w:rFonts w:cs="Times"/>
          <w:i/>
          <w:iCs/>
        </w:rPr>
        <w:t>Application of instrumental variables approach.</w:t>
      </w:r>
    </w:p>
    <w:p w14:paraId="7A045C5A" w14:textId="77777777" w:rsidR="00ED5552" w:rsidRPr="007059C9" w:rsidRDefault="00ED5552" w:rsidP="00ED5552"/>
    <w:p w14:paraId="127294D9" w14:textId="77777777" w:rsidR="008D5838" w:rsidRDefault="008D5838">
      <w:pPr>
        <w:rPr>
          <w:b/>
        </w:rPr>
      </w:pPr>
      <w:r>
        <w:rPr>
          <w:b/>
        </w:rPr>
        <w:br w:type="page"/>
      </w:r>
    </w:p>
    <w:p w14:paraId="730CDF31" w14:textId="27D78769" w:rsidR="00787B58" w:rsidRPr="007059C9" w:rsidRDefault="00F62080" w:rsidP="00F62080">
      <w:pPr>
        <w:pStyle w:val="ListParagraph"/>
        <w:numPr>
          <w:ilvl w:val="0"/>
          <w:numId w:val="5"/>
        </w:numPr>
        <w:rPr>
          <w:b/>
        </w:rPr>
      </w:pPr>
      <w:r w:rsidRPr="007059C9">
        <w:rPr>
          <w:b/>
        </w:rPr>
        <w:t xml:space="preserve">March 4 – </w:t>
      </w:r>
      <w:r w:rsidR="00A13A25" w:rsidRPr="007059C9">
        <w:rPr>
          <w:b/>
        </w:rPr>
        <w:t>Interrupted time series</w:t>
      </w:r>
      <w:r w:rsidR="000B6AF6" w:rsidRPr="007059C9">
        <w:rPr>
          <w:b/>
        </w:rPr>
        <w:t xml:space="preserve"> / r</w:t>
      </w:r>
      <w:r w:rsidR="00C600A4" w:rsidRPr="007059C9">
        <w:rPr>
          <w:b/>
        </w:rPr>
        <w:t>egression discontinuity</w:t>
      </w:r>
    </w:p>
    <w:p w14:paraId="49A42FD8" w14:textId="6344BC37" w:rsidR="002F721F" w:rsidRPr="007059C9" w:rsidRDefault="002F721F" w:rsidP="000B6AF6">
      <w:pPr>
        <w:ind w:left="720"/>
      </w:pPr>
      <w:r w:rsidRPr="007059C9">
        <w:t>Policy changes</w:t>
      </w:r>
      <w:r w:rsidR="000B6AF6" w:rsidRPr="007059C9">
        <w:t xml:space="preserve"> that induce changes over time; t</w:t>
      </w:r>
      <w:r w:rsidRPr="007059C9">
        <w:t>ime series analysis</w:t>
      </w:r>
      <w:r w:rsidR="000B6AF6" w:rsidRPr="007059C9">
        <w:t>; comparative time series analysis; assignment to treatment based on a continuous variable with a threshold</w:t>
      </w:r>
    </w:p>
    <w:p w14:paraId="15E69FE3" w14:textId="77777777" w:rsidR="00507D8A" w:rsidRPr="007059C9" w:rsidRDefault="00507D8A" w:rsidP="00507D8A"/>
    <w:p w14:paraId="7E718F38" w14:textId="14F6FAE2" w:rsidR="0022077A" w:rsidRPr="007059C9" w:rsidRDefault="002F721F" w:rsidP="00507D8A">
      <w:pPr>
        <w:ind w:left="720"/>
      </w:pPr>
      <w:proofErr w:type="spellStart"/>
      <w:r w:rsidRPr="007059C9">
        <w:t>Shadish</w:t>
      </w:r>
      <w:proofErr w:type="spellEnd"/>
      <w:r w:rsidRPr="007059C9">
        <w:t>, Cook, and Campbell</w:t>
      </w:r>
      <w:r w:rsidR="00C600A4" w:rsidRPr="007059C9">
        <w:t>, chapter</w:t>
      </w:r>
      <w:r w:rsidRPr="007059C9">
        <w:t xml:space="preserve"> 6</w:t>
      </w:r>
      <w:r w:rsidR="00C600A4" w:rsidRPr="007059C9">
        <w:t>-7</w:t>
      </w:r>
    </w:p>
    <w:p w14:paraId="6D69F55E" w14:textId="35B705F5" w:rsidR="00C600A4" w:rsidRPr="007059C9" w:rsidRDefault="00C600A4" w:rsidP="00507D8A">
      <w:pPr>
        <w:ind w:left="720"/>
      </w:pPr>
      <w:proofErr w:type="spellStart"/>
      <w:r w:rsidRPr="007059C9">
        <w:t>Murnane</w:t>
      </w:r>
      <w:proofErr w:type="spellEnd"/>
      <w:r w:rsidRPr="007059C9">
        <w:t xml:space="preserve"> and Willett, chapter 9</w:t>
      </w:r>
    </w:p>
    <w:p w14:paraId="62035A96" w14:textId="77777777" w:rsidR="00C600A4" w:rsidRPr="007059C9" w:rsidRDefault="00C600A4" w:rsidP="00507D8A">
      <w:pPr>
        <w:ind w:left="720"/>
      </w:pPr>
    </w:p>
    <w:p w14:paraId="45965739" w14:textId="339D1055" w:rsidR="00DD22BD" w:rsidRPr="007059C9" w:rsidRDefault="00DD22BD" w:rsidP="00507D8A">
      <w:pPr>
        <w:ind w:left="720"/>
        <w:rPr>
          <w:i/>
        </w:rPr>
      </w:pPr>
      <w:r w:rsidRPr="007059C9">
        <w:rPr>
          <w:i/>
        </w:rPr>
        <w:t>Applications</w:t>
      </w:r>
    </w:p>
    <w:p w14:paraId="108C0523" w14:textId="77777777" w:rsidR="00C600A4" w:rsidRPr="007059C9" w:rsidRDefault="00C600A4" w:rsidP="00DD22BD">
      <w:pPr>
        <w:ind w:left="1440" w:hanging="720"/>
      </w:pPr>
      <w:r w:rsidRPr="007059C9">
        <w:t>Dee, T., &amp; Jacob, B. (2009).The impact of No Child Left Behind on student achievement.</w:t>
      </w:r>
    </w:p>
    <w:p w14:paraId="63F446C3" w14:textId="77777777" w:rsidR="000A5E19" w:rsidRPr="007059C9" w:rsidRDefault="000A5E19" w:rsidP="00DD22BD">
      <w:pPr>
        <w:ind w:left="1440" w:hanging="720"/>
        <w:rPr>
          <w:color w:val="000000"/>
        </w:rPr>
      </w:pPr>
      <w:proofErr w:type="spellStart"/>
      <w:r w:rsidRPr="007059C9">
        <w:rPr>
          <w:color w:val="000000"/>
        </w:rPr>
        <w:t>Gormley</w:t>
      </w:r>
      <w:proofErr w:type="spellEnd"/>
      <w:r w:rsidRPr="007059C9">
        <w:rPr>
          <w:color w:val="000000"/>
        </w:rPr>
        <w:t>, W.T., Phillips, D., &amp; Gayer, T. (2008) Preschool programs can boost school readiness. Science 320: 1723-1724.</w:t>
      </w:r>
    </w:p>
    <w:p w14:paraId="496C5D32" w14:textId="77777777" w:rsidR="00C600A4" w:rsidRPr="007059C9" w:rsidRDefault="00C600A4" w:rsidP="00507D8A">
      <w:pPr>
        <w:ind w:left="720"/>
      </w:pPr>
    </w:p>
    <w:p w14:paraId="2046A9E5" w14:textId="2B885290" w:rsidR="000A5E19" w:rsidRPr="007059C9" w:rsidRDefault="00DD22BD" w:rsidP="00507D8A">
      <w:pPr>
        <w:ind w:left="720"/>
        <w:rPr>
          <w:i/>
        </w:rPr>
      </w:pPr>
      <w:r w:rsidRPr="007059C9">
        <w:rPr>
          <w:i/>
        </w:rPr>
        <w:t>Background</w:t>
      </w:r>
    </w:p>
    <w:p w14:paraId="13F4FE8A" w14:textId="77777777" w:rsidR="000A5E19" w:rsidRPr="007059C9" w:rsidRDefault="000A5E19" w:rsidP="00DD22BD">
      <w:pPr>
        <w:widowControl w:val="0"/>
        <w:autoSpaceDE w:val="0"/>
        <w:autoSpaceDN w:val="0"/>
        <w:adjustRightInd w:val="0"/>
        <w:ind w:left="1440" w:hanging="720"/>
        <w:rPr>
          <w:rFonts w:cs="Times"/>
        </w:rPr>
      </w:pPr>
      <w:proofErr w:type="spellStart"/>
      <w:r w:rsidRPr="007059C9">
        <w:rPr>
          <w:color w:val="000000"/>
        </w:rPr>
        <w:t>Imbens</w:t>
      </w:r>
      <w:proofErr w:type="spellEnd"/>
      <w:r w:rsidRPr="007059C9">
        <w:rPr>
          <w:color w:val="000000"/>
        </w:rPr>
        <w:t>, G.W. &amp; Lemieux, T. (2007) Regression discontinuity designs: a guide to practice. Journal of Econometrics</w:t>
      </w:r>
    </w:p>
    <w:p w14:paraId="73EC81DF" w14:textId="77777777" w:rsidR="006779C3" w:rsidRPr="007059C9" w:rsidRDefault="006779C3" w:rsidP="002B1580"/>
    <w:p w14:paraId="3994E7D6" w14:textId="5D29A056" w:rsidR="006779C3" w:rsidRPr="007059C9" w:rsidRDefault="00CC5FF3" w:rsidP="00CC5FF3">
      <w:pPr>
        <w:ind w:left="720"/>
        <w:jc w:val="center"/>
        <w:rPr>
          <w:b/>
        </w:rPr>
      </w:pPr>
      <w:r w:rsidRPr="007059C9">
        <w:rPr>
          <w:b/>
        </w:rPr>
        <w:t>***</w:t>
      </w:r>
      <w:r w:rsidR="006779C3" w:rsidRPr="007059C9">
        <w:rPr>
          <w:b/>
        </w:rPr>
        <w:t xml:space="preserve"> Spring Break</w:t>
      </w:r>
      <w:r w:rsidRPr="007059C9">
        <w:rPr>
          <w:b/>
        </w:rPr>
        <w:t xml:space="preserve"> ***</w:t>
      </w:r>
    </w:p>
    <w:p w14:paraId="533F2C57" w14:textId="77777777" w:rsidR="006779C3" w:rsidRPr="007059C9" w:rsidRDefault="006779C3" w:rsidP="002B1580"/>
    <w:p w14:paraId="62F516BA" w14:textId="3F3BED35" w:rsidR="00851C09" w:rsidRPr="007059C9" w:rsidRDefault="006779C3" w:rsidP="006779C3">
      <w:pPr>
        <w:pStyle w:val="ListParagraph"/>
        <w:numPr>
          <w:ilvl w:val="0"/>
          <w:numId w:val="5"/>
        </w:numPr>
        <w:rPr>
          <w:b/>
        </w:rPr>
      </w:pPr>
      <w:r w:rsidRPr="007059C9">
        <w:rPr>
          <w:b/>
        </w:rPr>
        <w:t xml:space="preserve">March 18 – </w:t>
      </w:r>
      <w:r w:rsidR="009222B5" w:rsidRPr="007059C9">
        <w:rPr>
          <w:b/>
        </w:rPr>
        <w:t>D</w:t>
      </w:r>
      <w:r w:rsidR="008431D7" w:rsidRPr="007059C9">
        <w:rPr>
          <w:b/>
        </w:rPr>
        <w:t>ifference-in-</w:t>
      </w:r>
      <w:r w:rsidR="00851C09" w:rsidRPr="007059C9">
        <w:rPr>
          <w:b/>
        </w:rPr>
        <w:t>differences</w:t>
      </w:r>
      <w:r w:rsidR="000B6AF6" w:rsidRPr="007059C9">
        <w:rPr>
          <w:b/>
        </w:rPr>
        <w:t xml:space="preserve"> / f</w:t>
      </w:r>
      <w:r w:rsidR="000A5E19" w:rsidRPr="007059C9">
        <w:rPr>
          <w:b/>
        </w:rPr>
        <w:t xml:space="preserve">ixed effects </w:t>
      </w:r>
    </w:p>
    <w:p w14:paraId="4B909743" w14:textId="6A62AD95" w:rsidR="00507D8A" w:rsidRPr="007059C9" w:rsidRDefault="008F0C05" w:rsidP="000B6AF6">
      <w:pPr>
        <w:ind w:left="720"/>
      </w:pPr>
      <w:r w:rsidRPr="007059C9">
        <w:t>Pooled cross sectional analysis; panel data techniques; p</w:t>
      </w:r>
      <w:r w:rsidR="000B6AF6" w:rsidRPr="007059C9">
        <w:t>oli</w:t>
      </w:r>
      <w:r w:rsidRPr="007059C9">
        <w:t xml:space="preserve">cy changes that create plausible treatment and control groups; using subjects as their own controls; using differencing to remove some kinds of confounding  </w:t>
      </w:r>
    </w:p>
    <w:p w14:paraId="577E13C5" w14:textId="77777777" w:rsidR="000B6AF6" w:rsidRPr="007059C9" w:rsidRDefault="000B6AF6" w:rsidP="000B6AF6">
      <w:pPr>
        <w:ind w:left="720"/>
      </w:pPr>
    </w:p>
    <w:p w14:paraId="7F1D0C45" w14:textId="2F25DF72" w:rsidR="009142C8" w:rsidRPr="007059C9" w:rsidRDefault="009142C8" w:rsidP="009142C8">
      <w:pPr>
        <w:ind w:left="720"/>
      </w:pPr>
      <w:r w:rsidRPr="007059C9">
        <w:t xml:space="preserve">Wooldridge 13-15 (review)… </w:t>
      </w:r>
      <w:r w:rsidR="00EE2FB8" w:rsidRPr="007059C9">
        <w:t>specific sections TBA</w:t>
      </w:r>
      <w:r w:rsidRPr="007059C9">
        <w:t xml:space="preserve">… </w:t>
      </w:r>
    </w:p>
    <w:p w14:paraId="6D47A9EE" w14:textId="6DD6F9E4" w:rsidR="0022077A" w:rsidRPr="007059C9" w:rsidRDefault="009222B5" w:rsidP="00507D8A">
      <w:pPr>
        <w:ind w:left="720"/>
      </w:pPr>
      <w:proofErr w:type="spellStart"/>
      <w:r w:rsidRPr="007059C9">
        <w:t>Angri</w:t>
      </w:r>
      <w:r w:rsidR="000A5E19" w:rsidRPr="007059C9">
        <w:t>st</w:t>
      </w:r>
      <w:proofErr w:type="spellEnd"/>
      <w:r w:rsidR="000A5E19" w:rsidRPr="007059C9">
        <w:t xml:space="preserve"> &amp; </w:t>
      </w:r>
      <w:proofErr w:type="spellStart"/>
      <w:r w:rsidR="000A5E19" w:rsidRPr="007059C9">
        <w:t>Pishke</w:t>
      </w:r>
      <w:proofErr w:type="spellEnd"/>
      <w:r w:rsidR="000A5E19" w:rsidRPr="007059C9">
        <w:t>, 5</w:t>
      </w:r>
    </w:p>
    <w:p w14:paraId="118A8CEF" w14:textId="3E853F2E" w:rsidR="009142C8" w:rsidRPr="007059C9" w:rsidRDefault="000A5E19" w:rsidP="009142C8">
      <w:pPr>
        <w:ind w:left="720"/>
      </w:pPr>
      <w:proofErr w:type="spellStart"/>
      <w:r w:rsidRPr="007059C9">
        <w:t>Shadish</w:t>
      </w:r>
      <w:proofErr w:type="spellEnd"/>
      <w:r w:rsidR="00EE2FB8" w:rsidRPr="007059C9">
        <w:t>, Cook, and Campbell, chapter 5</w:t>
      </w:r>
      <w:r w:rsidRPr="007059C9">
        <w:t xml:space="preserve"> </w:t>
      </w:r>
    </w:p>
    <w:p w14:paraId="75C13E93" w14:textId="77777777" w:rsidR="009142C8" w:rsidRPr="007059C9" w:rsidRDefault="009142C8" w:rsidP="00DD22BD">
      <w:pPr>
        <w:ind w:left="1440" w:hanging="720"/>
        <w:rPr>
          <w:color w:val="000000"/>
        </w:rPr>
      </w:pPr>
      <w:r w:rsidRPr="007059C9">
        <w:rPr>
          <w:color w:val="000000"/>
        </w:rPr>
        <w:t xml:space="preserve">Todd, P.E. &amp; </w:t>
      </w:r>
      <w:proofErr w:type="spellStart"/>
      <w:r w:rsidRPr="007059C9">
        <w:rPr>
          <w:color w:val="000000"/>
        </w:rPr>
        <w:t>Wolpin</w:t>
      </w:r>
      <w:proofErr w:type="spellEnd"/>
      <w:r w:rsidRPr="007059C9">
        <w:rPr>
          <w:color w:val="000000"/>
        </w:rPr>
        <w:t xml:space="preserve">, K.I. (2003) On the specification and estimation of the production function for cognitive achievement. </w:t>
      </w:r>
      <w:r w:rsidRPr="007059C9">
        <w:rPr>
          <w:color w:val="000000"/>
          <w:u w:val="single"/>
        </w:rPr>
        <w:t>The Economic Journal</w:t>
      </w:r>
      <w:r w:rsidRPr="007059C9">
        <w:rPr>
          <w:color w:val="000000"/>
        </w:rPr>
        <w:t xml:space="preserve"> 113.</w:t>
      </w:r>
    </w:p>
    <w:p w14:paraId="130DC6C2" w14:textId="77777777" w:rsidR="00DD22BD" w:rsidRPr="007059C9" w:rsidRDefault="00DD22BD" w:rsidP="00DD22BD"/>
    <w:p w14:paraId="0069C9CD" w14:textId="27D4354E" w:rsidR="002B1580" w:rsidRPr="007059C9" w:rsidRDefault="00DD22BD" w:rsidP="00DD22BD">
      <w:pPr>
        <w:ind w:left="720"/>
        <w:rPr>
          <w:i/>
        </w:rPr>
      </w:pPr>
      <w:r w:rsidRPr="007059C9">
        <w:rPr>
          <w:i/>
        </w:rPr>
        <w:t>Applications</w:t>
      </w:r>
    </w:p>
    <w:p w14:paraId="48270A03" w14:textId="77777777" w:rsidR="009142C8" w:rsidRPr="007059C9" w:rsidRDefault="009142C8" w:rsidP="00DD22BD">
      <w:pPr>
        <w:widowControl w:val="0"/>
        <w:autoSpaceDE w:val="0"/>
        <w:autoSpaceDN w:val="0"/>
        <w:adjustRightInd w:val="0"/>
        <w:ind w:left="1440" w:hanging="720"/>
      </w:pPr>
      <w:r w:rsidRPr="007059C9">
        <w:t xml:space="preserve">Card, D. &amp; </w:t>
      </w:r>
      <w:proofErr w:type="spellStart"/>
      <w:r w:rsidRPr="007059C9">
        <w:t>Kreuger</w:t>
      </w:r>
      <w:proofErr w:type="spellEnd"/>
      <w:r w:rsidRPr="007059C9">
        <w:t xml:space="preserve">, A. B. (1994). Minimum wages and employment: A case study of the fast-food industry in New Jersey and Pennsylvania. </w:t>
      </w:r>
      <w:r w:rsidRPr="007059C9">
        <w:rPr>
          <w:i/>
          <w:iCs/>
        </w:rPr>
        <w:t>American Economic Review, 84</w:t>
      </w:r>
      <w:r w:rsidRPr="007059C9">
        <w:t>(4), 772-793.</w:t>
      </w:r>
    </w:p>
    <w:p w14:paraId="3DBE2CEF" w14:textId="77777777" w:rsidR="009142C8" w:rsidRPr="007059C9" w:rsidRDefault="009142C8" w:rsidP="00DD22BD">
      <w:pPr>
        <w:pStyle w:val="Default"/>
        <w:ind w:left="1440" w:hanging="720"/>
        <w:rPr>
          <w:rFonts w:ascii="Times" w:hAnsi="Times"/>
        </w:rPr>
      </w:pPr>
      <w:proofErr w:type="spellStart"/>
      <w:r w:rsidRPr="007059C9">
        <w:rPr>
          <w:rFonts w:ascii="Times" w:hAnsi="Times"/>
        </w:rPr>
        <w:t>Budig</w:t>
      </w:r>
      <w:proofErr w:type="spellEnd"/>
      <w:r w:rsidRPr="007059C9">
        <w:rPr>
          <w:rFonts w:ascii="Times" w:hAnsi="Times"/>
        </w:rPr>
        <w:t xml:space="preserve">, M. J., &amp; England, P. (2001).The wage penalty for motherhood. </w:t>
      </w:r>
      <w:r w:rsidRPr="007059C9">
        <w:rPr>
          <w:rFonts w:ascii="Times" w:hAnsi="Times"/>
          <w:i/>
          <w:iCs/>
        </w:rPr>
        <w:t>American Sociological Review, 66</w:t>
      </w:r>
      <w:r w:rsidRPr="007059C9">
        <w:rPr>
          <w:rFonts w:ascii="Times" w:hAnsi="Times"/>
        </w:rPr>
        <w:t xml:space="preserve">(2), 204-225. </w:t>
      </w:r>
    </w:p>
    <w:p w14:paraId="0BA3C5CF" w14:textId="77777777" w:rsidR="007D1C42" w:rsidRPr="007059C9" w:rsidRDefault="007D1C42" w:rsidP="007D1C42"/>
    <w:p w14:paraId="09A87A00" w14:textId="4EADE26F" w:rsidR="007D1C42" w:rsidRPr="007059C9" w:rsidRDefault="006779C3" w:rsidP="006779C3">
      <w:pPr>
        <w:pStyle w:val="ListParagraph"/>
        <w:numPr>
          <w:ilvl w:val="0"/>
          <w:numId w:val="5"/>
        </w:numPr>
        <w:rPr>
          <w:b/>
        </w:rPr>
      </w:pPr>
      <w:r w:rsidRPr="007059C9">
        <w:rPr>
          <w:b/>
        </w:rPr>
        <w:t xml:space="preserve">March 25 – </w:t>
      </w:r>
      <w:r w:rsidR="008F0C05" w:rsidRPr="007059C9">
        <w:rPr>
          <w:b/>
        </w:rPr>
        <w:t>Propensity scores</w:t>
      </w:r>
    </w:p>
    <w:p w14:paraId="6F4FC0F5" w14:textId="570B34D0" w:rsidR="00851C09" w:rsidRPr="007059C9" w:rsidRDefault="008F0C05" w:rsidP="008F0C05">
      <w:pPr>
        <w:ind w:left="720"/>
      </w:pPr>
      <w:r w:rsidRPr="007059C9">
        <w:t>Matching, s</w:t>
      </w:r>
      <w:r w:rsidR="00851C09" w:rsidRPr="007059C9">
        <w:t>tratification</w:t>
      </w:r>
      <w:r w:rsidRPr="007059C9">
        <w:t>, w</w:t>
      </w:r>
      <w:r w:rsidR="00851C09" w:rsidRPr="007059C9">
        <w:t>eighting</w:t>
      </w:r>
      <w:r w:rsidR="008D5838">
        <w:t>.</w:t>
      </w:r>
    </w:p>
    <w:p w14:paraId="0507D057" w14:textId="77777777" w:rsidR="00507D8A" w:rsidRPr="007059C9" w:rsidRDefault="00507D8A" w:rsidP="00507D8A"/>
    <w:p w14:paraId="4A95C265" w14:textId="6E4F7C86" w:rsidR="009142C8" w:rsidRPr="007059C9" w:rsidRDefault="009142C8" w:rsidP="00507D8A">
      <w:pPr>
        <w:ind w:left="720"/>
      </w:pPr>
      <w:r w:rsidRPr="007059C9">
        <w:t xml:space="preserve">Morgan &amp; </w:t>
      </w:r>
      <w:proofErr w:type="spellStart"/>
      <w:r w:rsidRPr="007059C9">
        <w:t>Winship</w:t>
      </w:r>
      <w:proofErr w:type="spellEnd"/>
      <w:r w:rsidRPr="007059C9">
        <w:t>, chapter 4</w:t>
      </w:r>
    </w:p>
    <w:p w14:paraId="790095EE" w14:textId="6BB7CCE6" w:rsidR="00E260E2" w:rsidRPr="007059C9" w:rsidRDefault="009142C8" w:rsidP="00507D8A">
      <w:pPr>
        <w:ind w:left="720"/>
      </w:pPr>
      <w:proofErr w:type="spellStart"/>
      <w:r w:rsidRPr="007059C9">
        <w:t>Murnane</w:t>
      </w:r>
      <w:proofErr w:type="spellEnd"/>
      <w:r w:rsidRPr="007059C9">
        <w:t xml:space="preserve"> &amp; Willett 12</w:t>
      </w:r>
    </w:p>
    <w:p w14:paraId="4E03BD35" w14:textId="77777777" w:rsidR="005F512C" w:rsidRPr="007059C9" w:rsidRDefault="005F512C" w:rsidP="00DD22BD">
      <w:pPr>
        <w:ind w:left="1440" w:hanging="720"/>
      </w:pPr>
      <w:r w:rsidRPr="007059C9">
        <w:t xml:space="preserve">Rosenbaum, P., &amp; Rubin, D. (1983). The central role of the propensity score in observational studies for causal effects. </w:t>
      </w:r>
      <w:proofErr w:type="spellStart"/>
      <w:r w:rsidRPr="007059C9">
        <w:rPr>
          <w:i/>
          <w:iCs/>
        </w:rPr>
        <w:t>Biometrika</w:t>
      </w:r>
      <w:proofErr w:type="spellEnd"/>
      <w:r w:rsidRPr="007059C9">
        <w:rPr>
          <w:i/>
          <w:iCs/>
        </w:rPr>
        <w:t>, 70</w:t>
      </w:r>
      <w:r w:rsidRPr="007059C9">
        <w:t>(1), 41-55.</w:t>
      </w:r>
    </w:p>
    <w:p w14:paraId="1C666EBD" w14:textId="77777777" w:rsidR="005F512C" w:rsidRPr="007059C9" w:rsidRDefault="005F512C" w:rsidP="00D5538C"/>
    <w:p w14:paraId="3223FC72" w14:textId="77777777" w:rsidR="008D5838" w:rsidRDefault="008D5838">
      <w:pPr>
        <w:rPr>
          <w:i/>
        </w:rPr>
      </w:pPr>
      <w:r>
        <w:rPr>
          <w:i/>
        </w:rPr>
        <w:br w:type="page"/>
      </w:r>
    </w:p>
    <w:p w14:paraId="6864A6AA" w14:textId="50C50A2B" w:rsidR="00DD22BD" w:rsidRPr="007059C9" w:rsidRDefault="00DD22BD" w:rsidP="00DD22BD">
      <w:pPr>
        <w:ind w:left="1440" w:hanging="720"/>
        <w:rPr>
          <w:i/>
        </w:rPr>
      </w:pPr>
      <w:r w:rsidRPr="007059C9">
        <w:rPr>
          <w:i/>
        </w:rPr>
        <w:t>Applications</w:t>
      </w:r>
    </w:p>
    <w:p w14:paraId="05D75381" w14:textId="6EA0AD5C" w:rsidR="005F512C" w:rsidRPr="007059C9" w:rsidRDefault="0016371E" w:rsidP="00DD22BD">
      <w:pPr>
        <w:pStyle w:val="Default"/>
        <w:ind w:left="1440" w:hanging="720"/>
        <w:rPr>
          <w:rFonts w:ascii="Times" w:hAnsi="Times"/>
        </w:rPr>
      </w:pPr>
      <w:r w:rsidRPr="007059C9">
        <w:rPr>
          <w:rFonts w:ascii="Times" w:hAnsi="Times"/>
        </w:rPr>
        <w:t xml:space="preserve">Harding, D. J. (2003). Counterfactual models of neighborhood effects: The effect of neighborhood poverty on dropping out and teenage pregnancy. </w:t>
      </w:r>
      <w:r w:rsidRPr="007059C9">
        <w:rPr>
          <w:rFonts w:ascii="Times" w:hAnsi="Times"/>
          <w:i/>
          <w:iCs/>
        </w:rPr>
        <w:t>American Journal of Sociology, 109</w:t>
      </w:r>
      <w:r w:rsidRPr="007059C9">
        <w:rPr>
          <w:rFonts w:ascii="Times" w:hAnsi="Times"/>
        </w:rPr>
        <w:t xml:space="preserve">(3), 676-719. </w:t>
      </w:r>
    </w:p>
    <w:p w14:paraId="12B3CE83" w14:textId="77777777" w:rsidR="005F512C" w:rsidRPr="007059C9" w:rsidRDefault="005F512C" w:rsidP="00DD22BD">
      <w:pPr>
        <w:widowControl w:val="0"/>
        <w:autoSpaceDE w:val="0"/>
        <w:autoSpaceDN w:val="0"/>
        <w:adjustRightInd w:val="0"/>
        <w:ind w:left="1440" w:hanging="720"/>
        <w:rPr>
          <w:rFonts w:cs="Times New Roman"/>
        </w:rPr>
      </w:pPr>
      <w:proofErr w:type="spellStart"/>
      <w:r w:rsidRPr="007059C9">
        <w:rPr>
          <w:rFonts w:cs="Times New Roman"/>
        </w:rPr>
        <w:t>Bingenheimer</w:t>
      </w:r>
      <w:proofErr w:type="spellEnd"/>
      <w:r w:rsidRPr="007059C9">
        <w:rPr>
          <w:rFonts w:cs="Times New Roman"/>
        </w:rPr>
        <w:t>, J.B., Brennan, R.T., and Earls, F.J. (2005) "Firearm violence exposure and serious violent behavior" Science 308: 1323-1326</w:t>
      </w:r>
    </w:p>
    <w:p w14:paraId="4A6A7FC6" w14:textId="77777777" w:rsidR="009A67B5" w:rsidRPr="007059C9" w:rsidRDefault="009A67B5" w:rsidP="009A67B5"/>
    <w:p w14:paraId="18FFE334" w14:textId="06509B91" w:rsidR="00A53174" w:rsidRPr="007059C9" w:rsidRDefault="006779C3" w:rsidP="006779C3">
      <w:pPr>
        <w:pStyle w:val="ListParagraph"/>
        <w:numPr>
          <w:ilvl w:val="0"/>
          <w:numId w:val="5"/>
        </w:numPr>
        <w:rPr>
          <w:b/>
        </w:rPr>
      </w:pPr>
      <w:r w:rsidRPr="007059C9">
        <w:rPr>
          <w:b/>
        </w:rPr>
        <w:t xml:space="preserve">April 1 – </w:t>
      </w:r>
      <w:r w:rsidR="00A53174" w:rsidRPr="007059C9">
        <w:rPr>
          <w:b/>
        </w:rPr>
        <w:t>Within-study comparisons</w:t>
      </w:r>
    </w:p>
    <w:p w14:paraId="6C159356" w14:textId="245897FE" w:rsidR="00D5538C" w:rsidRPr="007059C9" w:rsidRDefault="00CD245E" w:rsidP="00D5538C">
      <w:pPr>
        <w:ind w:left="720"/>
      </w:pPr>
      <w:r w:rsidRPr="007059C9">
        <w:t>Under what conditions do non-experimental estimates closely reproduce experimental ones?</w:t>
      </w:r>
    </w:p>
    <w:p w14:paraId="12C23146" w14:textId="77777777" w:rsidR="00D5538C" w:rsidRPr="007059C9" w:rsidRDefault="00D5538C" w:rsidP="00CD245E">
      <w:pPr>
        <w:ind w:left="720"/>
      </w:pPr>
    </w:p>
    <w:p w14:paraId="7D5938F8" w14:textId="77777777" w:rsidR="00D5538C" w:rsidRPr="007059C9" w:rsidRDefault="00D5538C" w:rsidP="00D5538C">
      <w:pPr>
        <w:ind w:left="1440" w:hanging="720"/>
        <w:rPr>
          <w:color w:val="000000"/>
        </w:rPr>
      </w:pPr>
      <w:r w:rsidRPr="007059C9">
        <w:rPr>
          <w:color w:val="000000"/>
        </w:rPr>
        <w:t xml:space="preserve">Cook, T. D., </w:t>
      </w:r>
      <w:proofErr w:type="spellStart"/>
      <w:r w:rsidRPr="007059C9">
        <w:rPr>
          <w:color w:val="000000"/>
        </w:rPr>
        <w:t>Shadish</w:t>
      </w:r>
      <w:proofErr w:type="spellEnd"/>
      <w:r w:rsidRPr="007059C9">
        <w:rPr>
          <w:color w:val="000000"/>
        </w:rPr>
        <w:t xml:space="preserve">, W. R., &amp; Wong, V. C. (2008). Three Conditions under Which Experiments and Observational Studies Produce Comparable Causal Estimates: New Findings from within-Study Comparisons. </w:t>
      </w:r>
      <w:r w:rsidRPr="007059C9">
        <w:rPr>
          <w:i/>
          <w:iCs/>
          <w:color w:val="000000"/>
        </w:rPr>
        <w:t>Journal of Policy Analysis and Management, 27</w:t>
      </w:r>
      <w:r w:rsidRPr="007059C9">
        <w:rPr>
          <w:color w:val="000000"/>
        </w:rPr>
        <w:t>(4), 724-750.</w:t>
      </w:r>
    </w:p>
    <w:p w14:paraId="0203B82F" w14:textId="7E4EC23C" w:rsidR="00D5538C" w:rsidRPr="007059C9" w:rsidRDefault="00D5538C" w:rsidP="00CD245E">
      <w:pPr>
        <w:ind w:left="720"/>
      </w:pPr>
      <w:r w:rsidRPr="007059C9">
        <w:t>Other reading TBA</w:t>
      </w:r>
    </w:p>
    <w:p w14:paraId="62EB775B" w14:textId="77777777" w:rsidR="00D5538C" w:rsidRPr="007059C9" w:rsidRDefault="00D5538C" w:rsidP="00CD245E">
      <w:pPr>
        <w:ind w:left="720"/>
      </w:pPr>
    </w:p>
    <w:p w14:paraId="63BDA469" w14:textId="2E7E7262" w:rsidR="00D5538C" w:rsidRPr="007059C9" w:rsidRDefault="00D5538C" w:rsidP="00CD245E">
      <w:pPr>
        <w:ind w:left="720"/>
        <w:rPr>
          <w:i/>
        </w:rPr>
      </w:pPr>
      <w:r w:rsidRPr="007059C9">
        <w:rPr>
          <w:i/>
        </w:rPr>
        <w:t>Background</w:t>
      </w:r>
    </w:p>
    <w:p w14:paraId="5BC80639" w14:textId="77777777" w:rsidR="00A53174" w:rsidRPr="007059C9" w:rsidRDefault="00A53174" w:rsidP="00DD22BD">
      <w:pPr>
        <w:widowControl w:val="0"/>
        <w:autoSpaceDE w:val="0"/>
        <w:autoSpaceDN w:val="0"/>
        <w:adjustRightInd w:val="0"/>
        <w:ind w:left="1440" w:hanging="720"/>
        <w:rPr>
          <w:rFonts w:cs="Times"/>
        </w:rPr>
      </w:pPr>
      <w:proofErr w:type="spellStart"/>
      <w:r w:rsidRPr="007059C9">
        <w:rPr>
          <w:rFonts w:cs="Times"/>
        </w:rPr>
        <w:t>LaLonde</w:t>
      </w:r>
      <w:proofErr w:type="spellEnd"/>
      <w:r w:rsidRPr="007059C9">
        <w:rPr>
          <w:rFonts w:cs="Times"/>
        </w:rPr>
        <w:t xml:space="preserve">, Robert J. 1986. "Evaluating the econometric evaluations of training programs with experimental data." </w:t>
      </w:r>
      <w:r w:rsidRPr="007059C9">
        <w:rPr>
          <w:rFonts w:cs="Times"/>
          <w:i/>
          <w:iCs/>
        </w:rPr>
        <w:t xml:space="preserve">American Economic Review </w:t>
      </w:r>
      <w:r w:rsidRPr="007059C9">
        <w:rPr>
          <w:rFonts w:cs="Times"/>
        </w:rPr>
        <w:t>76:604-620.</w:t>
      </w:r>
    </w:p>
    <w:p w14:paraId="4C5159A4" w14:textId="6A9C4755" w:rsidR="00976B30" w:rsidRPr="007059C9" w:rsidRDefault="00976B30" w:rsidP="00DD22BD">
      <w:pPr>
        <w:widowControl w:val="0"/>
        <w:autoSpaceDE w:val="0"/>
        <w:autoSpaceDN w:val="0"/>
        <w:adjustRightInd w:val="0"/>
        <w:ind w:left="1440" w:hanging="720"/>
        <w:rPr>
          <w:rFonts w:cs="Times New Roman"/>
        </w:rPr>
      </w:pPr>
      <w:proofErr w:type="spellStart"/>
      <w:r w:rsidRPr="007059C9">
        <w:rPr>
          <w:rFonts w:cs="Times New Roman"/>
        </w:rPr>
        <w:t>Dehejia</w:t>
      </w:r>
      <w:proofErr w:type="spellEnd"/>
      <w:r w:rsidRPr="007059C9">
        <w:rPr>
          <w:rFonts w:cs="Times New Roman"/>
        </w:rPr>
        <w:t xml:space="preserve"> and </w:t>
      </w:r>
      <w:proofErr w:type="spellStart"/>
      <w:r w:rsidRPr="007059C9">
        <w:rPr>
          <w:rFonts w:cs="Times New Roman"/>
        </w:rPr>
        <w:t>Wahba</w:t>
      </w:r>
      <w:proofErr w:type="spellEnd"/>
      <w:r w:rsidRPr="007059C9">
        <w:rPr>
          <w:rFonts w:cs="Times New Roman"/>
        </w:rPr>
        <w:t xml:space="preserve">. (1999). "Causal Effects in </w:t>
      </w:r>
      <w:proofErr w:type="spellStart"/>
      <w:r w:rsidRPr="007059C9">
        <w:rPr>
          <w:rFonts w:cs="Times New Roman"/>
        </w:rPr>
        <w:t>Nonexperimental</w:t>
      </w:r>
      <w:proofErr w:type="spellEnd"/>
      <w:r w:rsidRPr="007059C9">
        <w:rPr>
          <w:rFonts w:cs="Times New Roman"/>
        </w:rPr>
        <w:t xml:space="preserve"> Studies: Reevaluating the Evaluation of Training Programs." Journal of the American Statistical Association 1053-62.</w:t>
      </w:r>
    </w:p>
    <w:p w14:paraId="75CB9F58" w14:textId="4A5B40E6" w:rsidR="00D5538C" w:rsidRPr="007059C9" w:rsidRDefault="00D5538C" w:rsidP="00D5538C">
      <w:pPr>
        <w:ind w:left="1440" w:hanging="720"/>
      </w:pPr>
      <w:proofErr w:type="spellStart"/>
      <w:r w:rsidRPr="007059C9">
        <w:rPr>
          <w:rFonts w:eastAsia="Times New Roman" w:cs="Times New Roman"/>
        </w:rPr>
        <w:t>Dehejia</w:t>
      </w:r>
      <w:proofErr w:type="spellEnd"/>
      <w:r w:rsidRPr="007059C9">
        <w:rPr>
          <w:rFonts w:eastAsia="Times New Roman" w:cs="Times New Roman"/>
        </w:rPr>
        <w:t xml:space="preserve">, R. H., &amp; </w:t>
      </w:r>
      <w:proofErr w:type="spellStart"/>
      <w:r w:rsidRPr="007059C9">
        <w:rPr>
          <w:rFonts w:eastAsia="Times New Roman" w:cs="Times New Roman"/>
        </w:rPr>
        <w:t>Wahba</w:t>
      </w:r>
      <w:proofErr w:type="spellEnd"/>
      <w:r w:rsidRPr="007059C9">
        <w:rPr>
          <w:rFonts w:eastAsia="Times New Roman" w:cs="Times New Roman"/>
        </w:rPr>
        <w:t xml:space="preserve">, S. (2002). Propensity score-matching methods for </w:t>
      </w:r>
      <w:proofErr w:type="spellStart"/>
      <w:r w:rsidRPr="007059C9">
        <w:rPr>
          <w:rFonts w:eastAsia="Times New Roman" w:cs="Times New Roman"/>
        </w:rPr>
        <w:t>nonexperimental</w:t>
      </w:r>
      <w:proofErr w:type="spellEnd"/>
      <w:r w:rsidRPr="007059C9">
        <w:rPr>
          <w:rFonts w:eastAsia="Times New Roman" w:cs="Times New Roman"/>
        </w:rPr>
        <w:t xml:space="preserve"> causal studies. </w:t>
      </w:r>
      <w:r w:rsidRPr="007059C9">
        <w:rPr>
          <w:rFonts w:eastAsia="Times New Roman" w:cs="Times New Roman"/>
          <w:i/>
          <w:iCs/>
        </w:rPr>
        <w:t>Review of Economics and statistics</w:t>
      </w:r>
      <w:r w:rsidRPr="007059C9">
        <w:rPr>
          <w:rFonts w:eastAsia="Times New Roman" w:cs="Times New Roman"/>
        </w:rPr>
        <w:t xml:space="preserve">, </w:t>
      </w:r>
      <w:r w:rsidRPr="007059C9">
        <w:rPr>
          <w:rFonts w:eastAsia="Times New Roman" w:cs="Times New Roman"/>
          <w:i/>
          <w:iCs/>
        </w:rPr>
        <w:t>84</w:t>
      </w:r>
      <w:r w:rsidRPr="007059C9">
        <w:rPr>
          <w:rFonts w:eastAsia="Times New Roman" w:cs="Times New Roman"/>
        </w:rPr>
        <w:t>(1), 151-161.</w:t>
      </w:r>
    </w:p>
    <w:p w14:paraId="26D7B343" w14:textId="77777777" w:rsidR="00976B30" w:rsidRPr="007059C9" w:rsidRDefault="00976B30" w:rsidP="00DD22BD">
      <w:pPr>
        <w:ind w:left="1440" w:hanging="720"/>
        <w:rPr>
          <w:color w:val="000000"/>
        </w:rPr>
      </w:pPr>
      <w:r w:rsidRPr="007059C9">
        <w:rPr>
          <w:color w:val="000000"/>
        </w:rPr>
        <w:t xml:space="preserve">William R. </w:t>
      </w:r>
      <w:proofErr w:type="spellStart"/>
      <w:r w:rsidRPr="007059C9">
        <w:rPr>
          <w:color w:val="000000"/>
        </w:rPr>
        <w:t>Shadish</w:t>
      </w:r>
      <w:proofErr w:type="spellEnd"/>
      <w:r w:rsidRPr="007059C9">
        <w:rPr>
          <w:color w:val="000000"/>
        </w:rPr>
        <w:t xml:space="preserve">, M. H. Clark, and Peter M. Steiner Can Nonrandomized Experiments Yield Accurate Answers? A Randomized Experiment Comparing Random and Nonrandom Assignments. </w:t>
      </w:r>
      <w:r w:rsidRPr="007059C9">
        <w:rPr>
          <w:color w:val="000000"/>
          <w:u w:val="single"/>
        </w:rPr>
        <w:t>JASA</w:t>
      </w:r>
      <w:r w:rsidRPr="007059C9">
        <w:rPr>
          <w:color w:val="000000"/>
        </w:rPr>
        <w:t xml:space="preserve"> 103: 1334-</w:t>
      </w:r>
    </w:p>
    <w:p w14:paraId="43592C31" w14:textId="77777777" w:rsidR="00DF7EF8" w:rsidRPr="007059C9" w:rsidRDefault="00DF7EF8" w:rsidP="009A67B5"/>
    <w:p w14:paraId="549293C8" w14:textId="133BA275" w:rsidR="002F50DF" w:rsidRDefault="006B2E95" w:rsidP="006B2E95">
      <w:pPr>
        <w:pStyle w:val="ListParagraph"/>
        <w:numPr>
          <w:ilvl w:val="0"/>
          <w:numId w:val="5"/>
        </w:numPr>
        <w:rPr>
          <w:b/>
        </w:rPr>
      </w:pPr>
      <w:r w:rsidRPr="007059C9">
        <w:rPr>
          <w:b/>
        </w:rPr>
        <w:t xml:space="preserve">April 8 – </w:t>
      </w:r>
      <w:r w:rsidR="00DF7EF8" w:rsidRPr="007059C9">
        <w:rPr>
          <w:b/>
        </w:rPr>
        <w:t>Student presentations of research projects / proposals</w:t>
      </w:r>
    </w:p>
    <w:p w14:paraId="0A090BB9" w14:textId="77777777" w:rsidR="00242E2F" w:rsidRDefault="00242E2F" w:rsidP="00242E2F">
      <w:pPr>
        <w:pStyle w:val="ListParagraph"/>
        <w:rPr>
          <w:b/>
        </w:rPr>
      </w:pPr>
    </w:p>
    <w:p w14:paraId="5EB1B5A5" w14:textId="2304CBBE" w:rsidR="00242E2F" w:rsidRDefault="00242E2F" w:rsidP="00242E2F">
      <w:pPr>
        <w:pStyle w:val="ListParagraph"/>
        <w:numPr>
          <w:ilvl w:val="0"/>
          <w:numId w:val="5"/>
        </w:numPr>
        <w:rPr>
          <w:b/>
        </w:rPr>
      </w:pPr>
      <w:r>
        <w:rPr>
          <w:b/>
        </w:rPr>
        <w:t>April 12</w:t>
      </w:r>
      <w:r w:rsidRPr="007059C9">
        <w:rPr>
          <w:b/>
        </w:rPr>
        <w:t xml:space="preserve"> – Student presentations of research projects / proposals</w:t>
      </w:r>
    </w:p>
    <w:p w14:paraId="41347147" w14:textId="4CFF146C" w:rsidR="00C34716" w:rsidRPr="00C34716" w:rsidRDefault="00C34716" w:rsidP="00C34716">
      <w:pPr>
        <w:pStyle w:val="ListParagraph"/>
        <w:numPr>
          <w:ilvl w:val="1"/>
          <w:numId w:val="9"/>
        </w:numPr>
      </w:pPr>
      <w:r w:rsidRPr="00C34716">
        <w:t>Extra class session to accommodate all student presentations</w:t>
      </w:r>
    </w:p>
    <w:p w14:paraId="218D839E" w14:textId="13990E37" w:rsidR="00C34716" w:rsidRPr="00C34716" w:rsidRDefault="00C34716" w:rsidP="00C34716">
      <w:pPr>
        <w:pStyle w:val="ListParagraph"/>
        <w:numPr>
          <w:ilvl w:val="1"/>
          <w:numId w:val="9"/>
        </w:numPr>
      </w:pPr>
      <w:r w:rsidRPr="00C34716">
        <w:t>Class will meet 2:00-4:50</w:t>
      </w:r>
      <w:r>
        <w:t>, room TBA</w:t>
      </w:r>
    </w:p>
    <w:p w14:paraId="0FCA57B0" w14:textId="77777777" w:rsidR="00F95CC0" w:rsidRPr="007059C9" w:rsidRDefault="00F95CC0" w:rsidP="009A67B5"/>
    <w:p w14:paraId="57308447" w14:textId="45DBD3B9" w:rsidR="009A67B5" w:rsidRPr="007059C9" w:rsidRDefault="006B2E95" w:rsidP="006B2E95">
      <w:pPr>
        <w:pStyle w:val="ListParagraph"/>
        <w:numPr>
          <w:ilvl w:val="0"/>
          <w:numId w:val="5"/>
        </w:numPr>
        <w:rPr>
          <w:b/>
        </w:rPr>
      </w:pPr>
      <w:r w:rsidRPr="007059C9">
        <w:rPr>
          <w:b/>
        </w:rPr>
        <w:t xml:space="preserve">April 15 – </w:t>
      </w:r>
      <w:r w:rsidR="009A67B5" w:rsidRPr="007059C9">
        <w:rPr>
          <w:b/>
        </w:rPr>
        <w:t>Student presentations of research projects / proposals</w:t>
      </w:r>
    </w:p>
    <w:p w14:paraId="05A9411D" w14:textId="77777777" w:rsidR="00DF7EF8" w:rsidRPr="007059C9" w:rsidRDefault="00DF7EF8" w:rsidP="009A67B5"/>
    <w:p w14:paraId="5CF634A0" w14:textId="35CEDD6D" w:rsidR="00DF7EF8" w:rsidRPr="007059C9" w:rsidRDefault="006B2E95" w:rsidP="006B2E95">
      <w:pPr>
        <w:pStyle w:val="ListParagraph"/>
        <w:numPr>
          <w:ilvl w:val="0"/>
          <w:numId w:val="5"/>
        </w:numPr>
        <w:rPr>
          <w:b/>
        </w:rPr>
      </w:pPr>
      <w:r w:rsidRPr="007059C9">
        <w:rPr>
          <w:b/>
        </w:rPr>
        <w:t xml:space="preserve">April 22 – </w:t>
      </w:r>
      <w:r w:rsidR="00DF7EF8" w:rsidRPr="007059C9">
        <w:rPr>
          <w:b/>
        </w:rPr>
        <w:t>Puzzles, questions, aims of research revisited</w:t>
      </w:r>
    </w:p>
    <w:p w14:paraId="49CEE621" w14:textId="007CC6D8" w:rsidR="00E260E2" w:rsidRPr="007059C9" w:rsidRDefault="00CD245E" w:rsidP="00CD245E">
      <w:pPr>
        <w:ind w:left="720"/>
      </w:pPr>
      <w:r w:rsidRPr="007059C9">
        <w:t xml:space="preserve">Method as servant not master; summary of strengths and weaknesses of causal inference theory and methods; </w:t>
      </w:r>
      <w:r w:rsidR="006B20FB" w:rsidRPr="007059C9">
        <w:t>other modes of social scientific explanation</w:t>
      </w:r>
    </w:p>
    <w:p w14:paraId="43A34DB0" w14:textId="77777777" w:rsidR="00CD245E" w:rsidRPr="007059C9" w:rsidRDefault="00CD245E" w:rsidP="00CD245E">
      <w:pPr>
        <w:ind w:left="720"/>
      </w:pPr>
    </w:p>
    <w:p w14:paraId="6EE393F3" w14:textId="4EA3AA2D" w:rsidR="00C2166F" w:rsidRPr="007059C9" w:rsidRDefault="00DF7EF8" w:rsidP="00B75E9D">
      <w:pPr>
        <w:ind w:left="720"/>
      </w:pPr>
      <w:proofErr w:type="spellStart"/>
      <w:r w:rsidRPr="007059C9">
        <w:t>M</w:t>
      </w:r>
      <w:r w:rsidR="00105B63" w:rsidRPr="007059C9">
        <w:t>urnane</w:t>
      </w:r>
      <w:proofErr w:type="spellEnd"/>
      <w:r w:rsidR="00105B63" w:rsidRPr="007059C9">
        <w:t xml:space="preserve"> &amp; Willett 13</w:t>
      </w:r>
    </w:p>
    <w:p w14:paraId="77F68A55" w14:textId="60CB7324" w:rsidR="00C34190" w:rsidRPr="007059C9" w:rsidRDefault="00C34190" w:rsidP="00B75E9D">
      <w:pPr>
        <w:ind w:left="720"/>
      </w:pPr>
      <w:proofErr w:type="spellStart"/>
      <w:r w:rsidRPr="007059C9">
        <w:t>Shadish</w:t>
      </w:r>
      <w:proofErr w:type="spellEnd"/>
      <w:r w:rsidRPr="007059C9">
        <w:t>,</w:t>
      </w:r>
      <w:r w:rsidR="00C34716">
        <w:t xml:space="preserve"> Cook, and Campbell, chapter 11</w:t>
      </w:r>
    </w:p>
    <w:p w14:paraId="08697B92" w14:textId="7D0A1464" w:rsidR="00976B30" w:rsidRDefault="00D5538C" w:rsidP="00B75E9D">
      <w:pPr>
        <w:ind w:left="720"/>
      </w:pPr>
      <w:r w:rsidRPr="007059C9">
        <w:t>Other readings TBA</w:t>
      </w:r>
    </w:p>
    <w:p w14:paraId="3B4E996C" w14:textId="77777777" w:rsidR="00BF3BF1" w:rsidRDefault="00BF3BF1" w:rsidP="00B75E9D">
      <w:pPr>
        <w:ind w:left="720"/>
      </w:pPr>
    </w:p>
    <w:p w14:paraId="01234F7C" w14:textId="032A2A24" w:rsidR="0059605D" w:rsidRPr="0059605D" w:rsidRDefault="0059605D" w:rsidP="0059605D">
      <w:pPr>
        <w:jc w:val="center"/>
        <w:rPr>
          <w:b/>
        </w:rPr>
      </w:pPr>
      <w:r w:rsidRPr="0059605D">
        <w:rPr>
          <w:b/>
        </w:rPr>
        <w:t xml:space="preserve">April 24, </w:t>
      </w:r>
      <w:r w:rsidR="00BF3BF1" w:rsidRPr="0059605D">
        <w:rPr>
          <w:b/>
        </w:rPr>
        <w:t>Final Paper</w:t>
      </w:r>
      <w:r w:rsidRPr="0059605D">
        <w:rPr>
          <w:b/>
        </w:rPr>
        <w:t xml:space="preserve"> Due, 5 p.m.</w:t>
      </w:r>
    </w:p>
    <w:p w14:paraId="5160887E" w14:textId="15FCBAEA" w:rsidR="00BF3BF1" w:rsidRPr="00C34716" w:rsidRDefault="0059605D" w:rsidP="0059605D">
      <w:pPr>
        <w:jc w:val="center"/>
      </w:pPr>
      <w:r w:rsidRPr="00C34716">
        <w:t xml:space="preserve">Hard copy delivered to my office (Abernethy Hall </w:t>
      </w:r>
      <w:proofErr w:type="spellStart"/>
      <w:r w:rsidRPr="00C34716">
        <w:t>Rm</w:t>
      </w:r>
      <w:proofErr w:type="spellEnd"/>
      <w:r w:rsidRPr="00C34716">
        <w:t xml:space="preserve"> 121)</w:t>
      </w:r>
    </w:p>
    <w:p w14:paraId="1B9B536F" w14:textId="30DC81FD" w:rsidR="0059605D" w:rsidRPr="00C34716" w:rsidRDefault="0059605D" w:rsidP="0059605D">
      <w:pPr>
        <w:jc w:val="center"/>
      </w:pPr>
      <w:r w:rsidRPr="00C34716">
        <w:t>Also upload an electronic copy to Sakai as a backup</w:t>
      </w:r>
    </w:p>
    <w:p w14:paraId="6361E8CB" w14:textId="385A48A2" w:rsidR="003E5344" w:rsidRPr="007059C9" w:rsidRDefault="003E5344"/>
    <w:sectPr w:rsidR="003E5344" w:rsidRPr="007059C9" w:rsidSect="008D5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7E15"/>
    <w:multiLevelType w:val="hybridMultilevel"/>
    <w:tmpl w:val="7DDC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95B1D"/>
    <w:multiLevelType w:val="hybridMultilevel"/>
    <w:tmpl w:val="590A4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2D5BD0"/>
    <w:multiLevelType w:val="hybridMultilevel"/>
    <w:tmpl w:val="1FD0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AC0792"/>
    <w:multiLevelType w:val="hybridMultilevel"/>
    <w:tmpl w:val="2C30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D297C"/>
    <w:multiLevelType w:val="hybridMultilevel"/>
    <w:tmpl w:val="43CAE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B375B5"/>
    <w:multiLevelType w:val="multilevel"/>
    <w:tmpl w:val="7DDCE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6BE6E26"/>
    <w:multiLevelType w:val="hybridMultilevel"/>
    <w:tmpl w:val="06309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0433D9"/>
    <w:multiLevelType w:val="hybridMultilevel"/>
    <w:tmpl w:val="032C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26790A"/>
    <w:multiLevelType w:val="multilevel"/>
    <w:tmpl w:val="032CF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FB250D1"/>
    <w:multiLevelType w:val="hybridMultilevel"/>
    <w:tmpl w:val="54ACA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627D72"/>
    <w:multiLevelType w:val="hybridMultilevel"/>
    <w:tmpl w:val="A03CBE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BA511C"/>
    <w:multiLevelType w:val="hybridMultilevel"/>
    <w:tmpl w:val="DD14D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8"/>
  </w:num>
  <w:num w:numId="5">
    <w:abstractNumId w:val="6"/>
  </w:num>
  <w:num w:numId="6">
    <w:abstractNumId w:val="3"/>
  </w:num>
  <w:num w:numId="7">
    <w:abstractNumId w:val="1"/>
  </w:num>
  <w:num w:numId="8">
    <w:abstractNumId w:val="4"/>
  </w:num>
  <w:num w:numId="9">
    <w:abstractNumId w:val="10"/>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E2"/>
    <w:rsid w:val="000A5E19"/>
    <w:rsid w:val="000B6AF6"/>
    <w:rsid w:val="000C2A12"/>
    <w:rsid w:val="000C7520"/>
    <w:rsid w:val="00105B63"/>
    <w:rsid w:val="0016371E"/>
    <w:rsid w:val="00172CD0"/>
    <w:rsid w:val="001941BA"/>
    <w:rsid w:val="00194EC5"/>
    <w:rsid w:val="001A04A3"/>
    <w:rsid w:val="001D281F"/>
    <w:rsid w:val="0022077A"/>
    <w:rsid w:val="00242E2F"/>
    <w:rsid w:val="002475A5"/>
    <w:rsid w:val="0027410B"/>
    <w:rsid w:val="002B1580"/>
    <w:rsid w:val="002F50DF"/>
    <w:rsid w:val="002F721F"/>
    <w:rsid w:val="0030470F"/>
    <w:rsid w:val="00317054"/>
    <w:rsid w:val="00337E6D"/>
    <w:rsid w:val="003531E5"/>
    <w:rsid w:val="003E5344"/>
    <w:rsid w:val="003F063F"/>
    <w:rsid w:val="00452B9B"/>
    <w:rsid w:val="00495FC9"/>
    <w:rsid w:val="004967E1"/>
    <w:rsid w:val="004F098E"/>
    <w:rsid w:val="00507D8A"/>
    <w:rsid w:val="00525C38"/>
    <w:rsid w:val="005310A7"/>
    <w:rsid w:val="00581ECC"/>
    <w:rsid w:val="0059605D"/>
    <w:rsid w:val="005D2EB2"/>
    <w:rsid w:val="005E715A"/>
    <w:rsid w:val="005F512C"/>
    <w:rsid w:val="00624657"/>
    <w:rsid w:val="006275FA"/>
    <w:rsid w:val="00633F7C"/>
    <w:rsid w:val="0064326F"/>
    <w:rsid w:val="006779C3"/>
    <w:rsid w:val="006811D4"/>
    <w:rsid w:val="0068279B"/>
    <w:rsid w:val="00686D7D"/>
    <w:rsid w:val="006A46A1"/>
    <w:rsid w:val="006B15DF"/>
    <w:rsid w:val="006B20FB"/>
    <w:rsid w:val="006B2E95"/>
    <w:rsid w:val="007059C9"/>
    <w:rsid w:val="00767FCE"/>
    <w:rsid w:val="00787B58"/>
    <w:rsid w:val="00797B66"/>
    <w:rsid w:val="007C10A1"/>
    <w:rsid w:val="007D1C42"/>
    <w:rsid w:val="007D7253"/>
    <w:rsid w:val="007E4E9E"/>
    <w:rsid w:val="00825877"/>
    <w:rsid w:val="008306DA"/>
    <w:rsid w:val="00832DDD"/>
    <w:rsid w:val="008426D9"/>
    <w:rsid w:val="008431D7"/>
    <w:rsid w:val="00851C09"/>
    <w:rsid w:val="008B0ECD"/>
    <w:rsid w:val="008C7F6E"/>
    <w:rsid w:val="008D5838"/>
    <w:rsid w:val="008F0C05"/>
    <w:rsid w:val="00903764"/>
    <w:rsid w:val="009142C8"/>
    <w:rsid w:val="009222B5"/>
    <w:rsid w:val="00925E14"/>
    <w:rsid w:val="009524B6"/>
    <w:rsid w:val="00970BFD"/>
    <w:rsid w:val="00976B30"/>
    <w:rsid w:val="009A67B5"/>
    <w:rsid w:val="009E7CB9"/>
    <w:rsid w:val="00A13A25"/>
    <w:rsid w:val="00A3021B"/>
    <w:rsid w:val="00A40D59"/>
    <w:rsid w:val="00A42B65"/>
    <w:rsid w:val="00A53174"/>
    <w:rsid w:val="00A734F7"/>
    <w:rsid w:val="00A820EF"/>
    <w:rsid w:val="00AE52C9"/>
    <w:rsid w:val="00B060EC"/>
    <w:rsid w:val="00B53490"/>
    <w:rsid w:val="00B75E9D"/>
    <w:rsid w:val="00B75F07"/>
    <w:rsid w:val="00B97398"/>
    <w:rsid w:val="00BA2070"/>
    <w:rsid w:val="00BB39C1"/>
    <w:rsid w:val="00BC2244"/>
    <w:rsid w:val="00BD229E"/>
    <w:rsid w:val="00BD30F0"/>
    <w:rsid w:val="00BF3BF1"/>
    <w:rsid w:val="00C00649"/>
    <w:rsid w:val="00C2166F"/>
    <w:rsid w:val="00C25C1B"/>
    <w:rsid w:val="00C34190"/>
    <w:rsid w:val="00C34716"/>
    <w:rsid w:val="00C600A4"/>
    <w:rsid w:val="00CA6AEE"/>
    <w:rsid w:val="00CB496F"/>
    <w:rsid w:val="00CC5FF3"/>
    <w:rsid w:val="00CD245E"/>
    <w:rsid w:val="00CE4688"/>
    <w:rsid w:val="00D53C0A"/>
    <w:rsid w:val="00D5538C"/>
    <w:rsid w:val="00D5582C"/>
    <w:rsid w:val="00DC27D5"/>
    <w:rsid w:val="00DD22BD"/>
    <w:rsid w:val="00DF7EF8"/>
    <w:rsid w:val="00E13BAD"/>
    <w:rsid w:val="00E260E2"/>
    <w:rsid w:val="00E363F9"/>
    <w:rsid w:val="00E3705D"/>
    <w:rsid w:val="00E656A4"/>
    <w:rsid w:val="00E76493"/>
    <w:rsid w:val="00EC7D76"/>
    <w:rsid w:val="00ED5552"/>
    <w:rsid w:val="00EE2FB8"/>
    <w:rsid w:val="00F021E2"/>
    <w:rsid w:val="00F351F9"/>
    <w:rsid w:val="00F62080"/>
    <w:rsid w:val="00F87531"/>
    <w:rsid w:val="00F95CC0"/>
    <w:rsid w:val="00FA6817"/>
    <w:rsid w:val="00FC3D61"/>
    <w:rsid w:val="00FC4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1E06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F5"/>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1E2"/>
    <w:pPr>
      <w:ind w:left="720"/>
      <w:contextualSpacing/>
    </w:pPr>
  </w:style>
  <w:style w:type="paragraph" w:customStyle="1" w:styleId="Default">
    <w:name w:val="Default"/>
    <w:rsid w:val="009142C8"/>
    <w:pPr>
      <w:widowControl w:val="0"/>
      <w:autoSpaceDE w:val="0"/>
      <w:autoSpaceDN w:val="0"/>
      <w:adjustRightInd w:val="0"/>
    </w:pPr>
    <w:rPr>
      <w:rFonts w:ascii="Cambria" w:hAnsi="Cambria" w:cs="Cambria"/>
      <w:color w:val="000000"/>
    </w:rPr>
  </w:style>
  <w:style w:type="paragraph" w:customStyle="1" w:styleId="cite">
    <w:name w:val="cite"/>
    <w:basedOn w:val="Normal"/>
    <w:qFormat/>
    <w:rsid w:val="00FA6817"/>
    <w:pPr>
      <w:widowControl w:val="0"/>
      <w:autoSpaceDE w:val="0"/>
      <w:autoSpaceDN w:val="0"/>
      <w:adjustRightInd w:val="0"/>
      <w:ind w:left="1440" w:hanging="720"/>
    </w:pPr>
    <w:rPr>
      <w:rFonts w:cs="Times"/>
      <w:sz w:val="22"/>
      <w:szCs w:val="22"/>
    </w:rPr>
  </w:style>
  <w:style w:type="character" w:styleId="Hyperlink">
    <w:name w:val="Hyperlink"/>
    <w:basedOn w:val="DefaultParagraphFont"/>
    <w:unhideWhenUsed/>
    <w:rsid w:val="000C7520"/>
    <w:rPr>
      <w:color w:val="0000FF"/>
      <w:u w:val="single"/>
    </w:rPr>
  </w:style>
  <w:style w:type="character" w:styleId="Strong">
    <w:name w:val="Strong"/>
    <w:basedOn w:val="DefaultParagraphFont"/>
    <w:uiPriority w:val="22"/>
    <w:qFormat/>
    <w:rsid w:val="000C752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F5"/>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1E2"/>
    <w:pPr>
      <w:ind w:left="720"/>
      <w:contextualSpacing/>
    </w:pPr>
  </w:style>
  <w:style w:type="paragraph" w:customStyle="1" w:styleId="Default">
    <w:name w:val="Default"/>
    <w:rsid w:val="009142C8"/>
    <w:pPr>
      <w:widowControl w:val="0"/>
      <w:autoSpaceDE w:val="0"/>
      <w:autoSpaceDN w:val="0"/>
      <w:adjustRightInd w:val="0"/>
    </w:pPr>
    <w:rPr>
      <w:rFonts w:ascii="Cambria" w:hAnsi="Cambria" w:cs="Cambria"/>
      <w:color w:val="000000"/>
    </w:rPr>
  </w:style>
  <w:style w:type="paragraph" w:customStyle="1" w:styleId="cite">
    <w:name w:val="cite"/>
    <w:basedOn w:val="Normal"/>
    <w:qFormat/>
    <w:rsid w:val="00FA6817"/>
    <w:pPr>
      <w:widowControl w:val="0"/>
      <w:autoSpaceDE w:val="0"/>
      <w:autoSpaceDN w:val="0"/>
      <w:adjustRightInd w:val="0"/>
      <w:ind w:left="1440" w:hanging="720"/>
    </w:pPr>
    <w:rPr>
      <w:rFonts w:cs="Times"/>
      <w:sz w:val="22"/>
      <w:szCs w:val="22"/>
    </w:rPr>
  </w:style>
  <w:style w:type="character" w:styleId="Hyperlink">
    <w:name w:val="Hyperlink"/>
    <w:basedOn w:val="DefaultParagraphFont"/>
    <w:unhideWhenUsed/>
    <w:rsid w:val="000C7520"/>
    <w:rPr>
      <w:color w:val="0000FF"/>
      <w:u w:val="single"/>
    </w:rPr>
  </w:style>
  <w:style w:type="character" w:styleId="Strong">
    <w:name w:val="Strong"/>
    <w:basedOn w:val="DefaultParagraphFont"/>
    <w:uiPriority w:val="22"/>
    <w:qFormat/>
    <w:rsid w:val="000C7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5578">
      <w:bodyDiv w:val="1"/>
      <w:marLeft w:val="0"/>
      <w:marRight w:val="0"/>
      <w:marTop w:val="0"/>
      <w:marBottom w:val="0"/>
      <w:divBdr>
        <w:top w:val="none" w:sz="0" w:space="0" w:color="auto"/>
        <w:left w:val="none" w:sz="0" w:space="0" w:color="auto"/>
        <w:bottom w:val="none" w:sz="0" w:space="0" w:color="auto"/>
        <w:right w:val="none" w:sz="0" w:space="0" w:color="auto"/>
      </w:divBdr>
      <w:divsChild>
        <w:div w:id="1304964319">
          <w:marLeft w:val="0"/>
          <w:marRight w:val="0"/>
          <w:marTop w:val="0"/>
          <w:marBottom w:val="0"/>
          <w:divBdr>
            <w:top w:val="none" w:sz="0" w:space="0" w:color="auto"/>
            <w:left w:val="none" w:sz="0" w:space="0" w:color="auto"/>
            <w:bottom w:val="none" w:sz="0" w:space="0" w:color="auto"/>
            <w:right w:val="none" w:sz="0" w:space="0" w:color="auto"/>
          </w:divBdr>
        </w:div>
      </w:divsChild>
    </w:div>
    <w:div w:id="593124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lauen@unc.edu" TargetMode="External"/><Relationship Id="rId7" Type="http://schemas.openxmlformats.org/officeDocument/2006/relationships/hyperlink" Target="http://instrument.unc.edu/" TargetMode="External"/><Relationship Id="rId8" Type="http://schemas.openxmlformats.org/officeDocument/2006/relationships/hyperlink" Target="http://honor.unc.edu/" TargetMode="External"/><Relationship Id="rId9" Type="http://schemas.openxmlformats.org/officeDocument/2006/relationships/hyperlink" Target="http://writingcenter.unc.edu/resources/handouts-demos/citation/plagiaris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10</Pages>
  <Words>2927</Words>
  <Characters>16685</Characters>
  <Application>Microsoft Macintosh Word</Application>
  <DocSecurity>0</DocSecurity>
  <Lines>139</Lines>
  <Paragraphs>39</Paragraphs>
  <ScaleCrop>false</ScaleCrop>
  <Company/>
  <LinksUpToDate>false</LinksUpToDate>
  <CharactersWithSpaces>19573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Mystery Author Lauen</dc:creator>
  <cp:keywords/>
  <dc:description/>
  <cp:lastModifiedBy>Mystery Author Lauen</cp:lastModifiedBy>
  <cp:revision>10</cp:revision>
  <cp:lastPrinted>2013-01-11T19:28:00Z</cp:lastPrinted>
  <dcterms:created xsi:type="dcterms:W3CDTF">2013-01-10T21:53:00Z</dcterms:created>
  <dcterms:modified xsi:type="dcterms:W3CDTF">2013-01-14T13:33:00Z</dcterms:modified>
</cp:coreProperties>
</file>