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B613B" w14:textId="3B56898F" w:rsidR="00903764" w:rsidRPr="007059C9" w:rsidRDefault="006275FA" w:rsidP="00AE2CF7">
      <w:pPr>
        <w:jc w:val="center"/>
        <w:rPr>
          <w:b/>
        </w:rPr>
      </w:pPr>
      <w:bookmarkStart w:id="0" w:name="_GoBack"/>
      <w:bookmarkEnd w:id="0"/>
      <w:r w:rsidRPr="007059C9">
        <w:rPr>
          <w:b/>
        </w:rPr>
        <w:t>PLCY</w:t>
      </w:r>
      <w:r w:rsidR="00F021E2" w:rsidRPr="007059C9">
        <w:rPr>
          <w:b/>
        </w:rPr>
        <w:t>801 Design</w:t>
      </w:r>
      <w:r w:rsidRPr="007059C9">
        <w:rPr>
          <w:b/>
        </w:rPr>
        <w:t xml:space="preserve"> of Policy Research</w:t>
      </w:r>
    </w:p>
    <w:p w14:paraId="4DDC89F1" w14:textId="065D6D0A" w:rsidR="00F021E2" w:rsidRDefault="004314D1" w:rsidP="00AE2CF7">
      <w:pPr>
        <w:jc w:val="center"/>
        <w:rPr>
          <w:b/>
        </w:rPr>
      </w:pPr>
      <w:r>
        <w:rPr>
          <w:b/>
        </w:rPr>
        <w:t>Fall</w:t>
      </w:r>
      <w:r w:rsidR="000A03A5">
        <w:rPr>
          <w:b/>
        </w:rPr>
        <w:t xml:space="preserve"> 2015</w:t>
      </w:r>
    </w:p>
    <w:p w14:paraId="7D73D50C" w14:textId="41944202" w:rsidR="00AE2CF7" w:rsidRDefault="009579E2" w:rsidP="00AE2CF7">
      <w:pPr>
        <w:jc w:val="center"/>
        <w:rPr>
          <w:rFonts w:eastAsia="Times New Roman" w:cs="Times New Roman"/>
          <w:color w:val="000000"/>
        </w:rPr>
      </w:pPr>
      <w:r>
        <w:rPr>
          <w:rFonts w:eastAsia="Times New Roman" w:cs="Times New Roman"/>
          <w:bCs/>
          <w:color w:val="000000"/>
        </w:rPr>
        <w:t>Tuesday</w:t>
      </w:r>
      <w:r w:rsidR="00B97E42">
        <w:rPr>
          <w:rFonts w:eastAsia="Times New Roman" w:cs="Times New Roman"/>
          <w:bCs/>
          <w:color w:val="000000"/>
        </w:rPr>
        <w:t>s</w:t>
      </w:r>
      <w:r w:rsidR="000A03A5">
        <w:rPr>
          <w:rFonts w:eastAsia="Times New Roman" w:cs="Times New Roman"/>
          <w:bCs/>
          <w:color w:val="000000"/>
        </w:rPr>
        <w:t xml:space="preserve"> and Thursdays</w:t>
      </w:r>
      <w:r w:rsidR="00B97E42">
        <w:rPr>
          <w:rFonts w:eastAsia="Times New Roman" w:cs="Times New Roman"/>
          <w:bCs/>
          <w:color w:val="000000"/>
        </w:rPr>
        <w:t>,</w:t>
      </w:r>
      <w:r w:rsidR="00AE2CF7" w:rsidRPr="007059C9">
        <w:rPr>
          <w:rFonts w:eastAsia="Times New Roman" w:cs="Times New Roman"/>
          <w:bCs/>
          <w:color w:val="000000"/>
        </w:rPr>
        <w:t xml:space="preserve"> </w:t>
      </w:r>
      <w:r w:rsidR="000A03A5">
        <w:rPr>
          <w:rFonts w:eastAsia="Times New Roman" w:cs="Times New Roman"/>
          <w:bCs/>
          <w:color w:val="000000"/>
        </w:rPr>
        <w:t>12:30-1:45</w:t>
      </w:r>
    </w:p>
    <w:p w14:paraId="6FB51254" w14:textId="77933B42" w:rsidR="000A03A5" w:rsidRPr="007059C9" w:rsidRDefault="000A03A5" w:rsidP="00AE2CF7">
      <w:pPr>
        <w:jc w:val="center"/>
        <w:rPr>
          <w:rFonts w:eastAsia="Times New Roman" w:cs="Times New Roman"/>
          <w:color w:val="000000"/>
        </w:rPr>
      </w:pPr>
      <w:r>
        <w:rPr>
          <w:rFonts w:eastAsia="Times New Roman" w:cs="Times New Roman"/>
          <w:color w:val="000000"/>
        </w:rPr>
        <w:t xml:space="preserve">Location: </w:t>
      </w:r>
      <w:r w:rsidR="006C5856">
        <w:rPr>
          <w:rFonts w:eastAsia="Times New Roman" w:cs="Times New Roman"/>
          <w:color w:val="000000"/>
        </w:rPr>
        <w:t>Mitchell 106</w:t>
      </w:r>
    </w:p>
    <w:p w14:paraId="01C8550F" w14:textId="77777777" w:rsidR="00AE2CF7" w:rsidRPr="007059C9" w:rsidRDefault="00AE2CF7" w:rsidP="00D5582C"/>
    <w:p w14:paraId="7AC3F7BE" w14:textId="77777777" w:rsidR="00A42B65" w:rsidRPr="007059C9" w:rsidRDefault="00A42B65" w:rsidP="00D5582C">
      <w:pPr>
        <w:rPr>
          <w:rFonts w:eastAsia="Times New Roman" w:cs="Times New Roman"/>
          <w:b/>
          <w:bCs/>
          <w:color w:val="000000"/>
        </w:rPr>
      </w:pPr>
      <w:r w:rsidRPr="007059C9">
        <w:rPr>
          <w:rFonts w:eastAsia="Times New Roman" w:cs="Times New Roman"/>
          <w:b/>
          <w:bCs/>
          <w:color w:val="000000"/>
        </w:rPr>
        <w:t>Instructor</w:t>
      </w:r>
    </w:p>
    <w:p w14:paraId="4B042FCE" w14:textId="77777777" w:rsidR="00A42B65" w:rsidRPr="007059C9" w:rsidRDefault="00A42B65" w:rsidP="00D5582C">
      <w:pPr>
        <w:rPr>
          <w:rFonts w:eastAsia="Times New Roman" w:cs="Times New Roman"/>
          <w:bCs/>
          <w:color w:val="000000"/>
        </w:rPr>
      </w:pPr>
      <w:r w:rsidRPr="007059C9">
        <w:rPr>
          <w:rFonts w:eastAsia="Times New Roman" w:cs="Times New Roman"/>
          <w:bCs/>
          <w:color w:val="000000"/>
        </w:rPr>
        <w:t>Douglas Lee Lauen</w:t>
      </w:r>
    </w:p>
    <w:p w14:paraId="7AAACE5E" w14:textId="22A7F640" w:rsidR="00A42B65" w:rsidRDefault="00807548" w:rsidP="00D5582C">
      <w:pPr>
        <w:rPr>
          <w:rFonts w:eastAsia="Times New Roman" w:cs="Times New Roman"/>
          <w:bCs/>
          <w:color w:val="000000"/>
        </w:rPr>
      </w:pPr>
      <w:r>
        <w:rPr>
          <w:rFonts w:eastAsia="Times New Roman" w:cs="Times New Roman"/>
          <w:bCs/>
          <w:color w:val="000000"/>
        </w:rPr>
        <w:t>Associate</w:t>
      </w:r>
      <w:r w:rsidR="00A42B65" w:rsidRPr="007059C9">
        <w:rPr>
          <w:rFonts w:eastAsia="Times New Roman" w:cs="Times New Roman"/>
          <w:bCs/>
          <w:color w:val="000000"/>
        </w:rPr>
        <w:t xml:space="preserve"> Professor of Public Policy</w:t>
      </w:r>
    </w:p>
    <w:p w14:paraId="05BBF8DE" w14:textId="77777777" w:rsidR="00A42B65" w:rsidRPr="007059C9" w:rsidRDefault="00A42B65" w:rsidP="00D5582C">
      <w:pPr>
        <w:rPr>
          <w:rFonts w:eastAsia="Times New Roman" w:cs="Times New Roman"/>
          <w:color w:val="000000"/>
        </w:rPr>
      </w:pPr>
      <w:r w:rsidRPr="007059C9">
        <w:rPr>
          <w:rFonts w:eastAsia="Times New Roman" w:cs="Times New Roman"/>
          <w:b/>
          <w:bCs/>
          <w:color w:val="000000"/>
        </w:rPr>
        <w:t>Office</w:t>
      </w:r>
      <w:r w:rsidRPr="007059C9">
        <w:rPr>
          <w:rFonts w:eastAsia="Times New Roman" w:cs="Times New Roman"/>
          <w:color w:val="000000"/>
        </w:rPr>
        <w:t>: 121 Abernethy Hall</w:t>
      </w:r>
    </w:p>
    <w:p w14:paraId="6CEF34FF" w14:textId="37079FE8" w:rsidR="00DC27D5" w:rsidRPr="007059C9" w:rsidRDefault="00DC27D5" w:rsidP="00D5582C">
      <w:pPr>
        <w:rPr>
          <w:rFonts w:eastAsia="Times New Roman" w:cs="Times New Roman"/>
          <w:color w:val="000000"/>
        </w:rPr>
      </w:pPr>
      <w:r w:rsidRPr="007059C9">
        <w:rPr>
          <w:rFonts w:eastAsia="Times New Roman" w:cs="Times New Roman"/>
          <w:b/>
          <w:bCs/>
          <w:color w:val="000000"/>
        </w:rPr>
        <w:t>Office hours</w:t>
      </w:r>
      <w:r w:rsidRPr="007059C9">
        <w:rPr>
          <w:rFonts w:eastAsia="Times New Roman" w:cs="Times New Roman"/>
          <w:color w:val="000000"/>
        </w:rPr>
        <w:t>: </w:t>
      </w:r>
      <w:r w:rsidR="000A03A5">
        <w:rPr>
          <w:rFonts w:eastAsia="Times New Roman" w:cs="Times New Roman"/>
          <w:bCs/>
          <w:color w:val="000000"/>
        </w:rPr>
        <w:t>Wed., 2:00-3:30</w:t>
      </w:r>
    </w:p>
    <w:p w14:paraId="4D024F00" w14:textId="77777777" w:rsidR="00A42B65" w:rsidRPr="007059C9" w:rsidRDefault="00A42B65" w:rsidP="00D5582C">
      <w:pPr>
        <w:rPr>
          <w:rFonts w:eastAsia="Times New Roman" w:cs="Times New Roman"/>
          <w:color w:val="000000"/>
        </w:rPr>
      </w:pPr>
      <w:r w:rsidRPr="007059C9">
        <w:rPr>
          <w:rFonts w:eastAsia="Times New Roman" w:cs="Times New Roman"/>
          <w:b/>
          <w:bCs/>
          <w:color w:val="000000"/>
        </w:rPr>
        <w:t>Phone</w:t>
      </w:r>
      <w:r w:rsidRPr="007059C9">
        <w:rPr>
          <w:rFonts w:eastAsia="Times New Roman" w:cs="Times New Roman"/>
          <w:color w:val="000000"/>
        </w:rPr>
        <w:t>: (919) 843-5010</w:t>
      </w:r>
    </w:p>
    <w:p w14:paraId="6C9D9933" w14:textId="77777777" w:rsidR="00A42B65" w:rsidRPr="007059C9" w:rsidRDefault="00A42B65" w:rsidP="00D5582C">
      <w:pPr>
        <w:rPr>
          <w:rFonts w:eastAsia="Times New Roman" w:cs="Times New Roman"/>
          <w:color w:val="000000"/>
        </w:rPr>
      </w:pPr>
      <w:r w:rsidRPr="007059C9">
        <w:rPr>
          <w:rFonts w:eastAsia="Times New Roman" w:cs="Times New Roman"/>
          <w:b/>
          <w:bCs/>
          <w:color w:val="000000"/>
        </w:rPr>
        <w:t>Email</w:t>
      </w:r>
      <w:r w:rsidRPr="007059C9">
        <w:rPr>
          <w:rFonts w:eastAsia="Times New Roman" w:cs="Times New Roman"/>
          <w:color w:val="000000"/>
        </w:rPr>
        <w:t>: </w:t>
      </w:r>
      <w:hyperlink r:id="rId7" w:history="1">
        <w:r w:rsidRPr="007059C9">
          <w:rPr>
            <w:rFonts w:eastAsia="Times New Roman" w:cs="Times New Roman"/>
            <w:color w:val="0000FF"/>
            <w:u w:val="single"/>
          </w:rPr>
          <w:t>dlauen@unc.edu</w:t>
        </w:r>
      </w:hyperlink>
    </w:p>
    <w:p w14:paraId="750B3070" w14:textId="77777777" w:rsidR="00A42B65" w:rsidRPr="007059C9" w:rsidRDefault="00A42B65" w:rsidP="00D5582C">
      <w:pPr>
        <w:rPr>
          <w:rFonts w:eastAsia="Times New Roman" w:cs="Times New Roman"/>
          <w:color w:val="000000"/>
        </w:rPr>
      </w:pPr>
      <w:r w:rsidRPr="007059C9">
        <w:rPr>
          <w:rFonts w:eastAsia="Times New Roman" w:cs="Times New Roman"/>
          <w:color w:val="000000"/>
        </w:rPr>
        <w:t> </w:t>
      </w:r>
    </w:p>
    <w:p w14:paraId="2EE1BE6D" w14:textId="0E175E4C" w:rsidR="00BD229E" w:rsidRDefault="00492921" w:rsidP="00D5582C">
      <w:pPr>
        <w:rPr>
          <w:b/>
        </w:rPr>
      </w:pPr>
      <w:r>
        <w:rPr>
          <w:b/>
        </w:rPr>
        <w:t>Course Goal</w:t>
      </w:r>
    </w:p>
    <w:p w14:paraId="4CAC6E7C" w14:textId="2223ACFE" w:rsidR="00492921" w:rsidRPr="00492921" w:rsidRDefault="00492921" w:rsidP="00492921">
      <w:pPr>
        <w:ind w:left="720"/>
      </w:pPr>
      <w:r w:rsidRPr="00492921">
        <w:t>To increase student competence in understanding, critiquing, and creating research designs with a strong basis for making causal inference</w:t>
      </w:r>
    </w:p>
    <w:p w14:paraId="77D6F3B9" w14:textId="77777777" w:rsidR="00492921" w:rsidRDefault="00492921" w:rsidP="00D5582C">
      <w:pPr>
        <w:rPr>
          <w:b/>
        </w:rPr>
      </w:pPr>
    </w:p>
    <w:p w14:paraId="1209A02B" w14:textId="2269BCAF" w:rsidR="00094CA9" w:rsidRDefault="00094CA9" w:rsidP="00094CA9">
      <w:pPr>
        <w:rPr>
          <w:b/>
        </w:rPr>
      </w:pPr>
      <w:r>
        <w:rPr>
          <w:b/>
        </w:rPr>
        <w:t>Target Audience</w:t>
      </w:r>
    </w:p>
    <w:p w14:paraId="41BB426D" w14:textId="4C375F1C" w:rsidR="00094CA9" w:rsidRPr="00094CA9" w:rsidRDefault="00094CA9" w:rsidP="00094CA9">
      <w:pPr>
        <w:ind w:left="720"/>
      </w:pPr>
      <w:r>
        <w:t xml:space="preserve">Ph.D. students in the </w:t>
      </w:r>
      <w:r w:rsidR="000C7B6D">
        <w:t xml:space="preserve">public policy, planning, health policy, and the </w:t>
      </w:r>
      <w:r>
        <w:t>social sciences</w:t>
      </w:r>
    </w:p>
    <w:p w14:paraId="47F02B76" w14:textId="77777777" w:rsidR="00094CA9" w:rsidRPr="007059C9" w:rsidRDefault="00094CA9" w:rsidP="00D5582C">
      <w:pPr>
        <w:rPr>
          <w:b/>
        </w:rPr>
      </w:pPr>
    </w:p>
    <w:p w14:paraId="644D33F7" w14:textId="7E39D288" w:rsidR="00DC27D5" w:rsidRPr="001709F4" w:rsidRDefault="00492921" w:rsidP="00D5582C">
      <w:pPr>
        <w:rPr>
          <w:b/>
        </w:rPr>
      </w:pPr>
      <w:r w:rsidRPr="001709F4">
        <w:rPr>
          <w:b/>
        </w:rPr>
        <w:t>Skills and Knowledge Developed</w:t>
      </w:r>
    </w:p>
    <w:p w14:paraId="3080A95D" w14:textId="6337ABB2" w:rsidR="00CA0CA0" w:rsidRDefault="00492921" w:rsidP="00D5582C">
      <w:pPr>
        <w:pStyle w:val="ListParagraph"/>
        <w:numPr>
          <w:ilvl w:val="0"/>
          <w:numId w:val="6"/>
        </w:numPr>
      </w:pPr>
      <w:r>
        <w:t>T</w:t>
      </w:r>
      <w:r w:rsidR="00CA0CA0">
        <w:t>he theoretical principles of making causal inferences from quantitative evidence;</w:t>
      </w:r>
    </w:p>
    <w:p w14:paraId="4AE8CED3" w14:textId="64805109" w:rsidR="00EC0809" w:rsidRDefault="001709F4" w:rsidP="00D5582C">
      <w:pPr>
        <w:pStyle w:val="ListParagraph"/>
        <w:numPr>
          <w:ilvl w:val="0"/>
          <w:numId w:val="6"/>
        </w:numPr>
      </w:pPr>
      <w:r>
        <w:t>S</w:t>
      </w:r>
      <w:r w:rsidR="00492921">
        <w:t>tatistical simulation to better understand the theoretical principles of causal inference</w:t>
      </w:r>
    </w:p>
    <w:p w14:paraId="01DA7284" w14:textId="39770858" w:rsidR="00BD229E" w:rsidRPr="007059C9" w:rsidRDefault="001709F4" w:rsidP="00D5582C">
      <w:pPr>
        <w:pStyle w:val="ListParagraph"/>
        <w:numPr>
          <w:ilvl w:val="0"/>
          <w:numId w:val="6"/>
        </w:numPr>
      </w:pPr>
      <w:r>
        <w:t>I</w:t>
      </w:r>
      <w:r w:rsidR="00DC27D5" w:rsidRPr="007059C9">
        <w:t>dentifying assumptions, strengths, and limitations of</w:t>
      </w:r>
      <w:r w:rsidR="00BD229E" w:rsidRPr="007059C9">
        <w:t xml:space="preserve"> </w:t>
      </w:r>
      <w:r w:rsidR="00DC27D5" w:rsidRPr="007059C9">
        <w:t xml:space="preserve">research designs often used in </w:t>
      </w:r>
      <w:r w:rsidR="00492921">
        <w:t xml:space="preserve">applied </w:t>
      </w:r>
      <w:r w:rsidR="00DC27D5" w:rsidRPr="007059C9">
        <w:t>social science research</w:t>
      </w:r>
      <w:r w:rsidR="00492921">
        <w:t xml:space="preserve"> fields such as planning and public policy</w:t>
      </w:r>
      <w:r w:rsidR="00CA0CA0">
        <w:t>;</w:t>
      </w:r>
    </w:p>
    <w:p w14:paraId="2CD383AD" w14:textId="4987F608" w:rsidR="00BD229E" w:rsidRPr="007059C9" w:rsidRDefault="001709F4" w:rsidP="00D5582C">
      <w:pPr>
        <w:pStyle w:val="ListParagraph"/>
        <w:numPr>
          <w:ilvl w:val="0"/>
          <w:numId w:val="6"/>
        </w:numPr>
      </w:pPr>
      <w:r>
        <w:t>Constructive</w:t>
      </w:r>
      <w:r w:rsidR="00A3021B" w:rsidRPr="007059C9">
        <w:t xml:space="preserve"> critique </w:t>
      </w:r>
      <w:r>
        <w:t>of</w:t>
      </w:r>
      <w:r w:rsidR="00873AE5">
        <w:t xml:space="preserve"> research designs of </w:t>
      </w:r>
      <w:r w:rsidR="00A3021B" w:rsidRPr="007059C9">
        <w:t xml:space="preserve">peer-reviewed </w:t>
      </w:r>
      <w:r w:rsidR="00E3705D" w:rsidRPr="007059C9">
        <w:t xml:space="preserve">quantitative </w:t>
      </w:r>
      <w:r w:rsidR="00BD229E" w:rsidRPr="007059C9">
        <w:t>social science research</w:t>
      </w:r>
      <w:r w:rsidR="00A3021B" w:rsidRPr="007059C9">
        <w:t xml:space="preserve"> published in academic journals</w:t>
      </w:r>
      <w:r w:rsidR="00CA0CA0">
        <w:t xml:space="preserve">; and </w:t>
      </w:r>
    </w:p>
    <w:p w14:paraId="609BEEEA" w14:textId="2E413257" w:rsidR="00B97398" w:rsidRPr="007059C9" w:rsidRDefault="001709F4" w:rsidP="00D5582C">
      <w:pPr>
        <w:pStyle w:val="ListParagraph"/>
        <w:numPr>
          <w:ilvl w:val="0"/>
          <w:numId w:val="6"/>
        </w:numPr>
      </w:pPr>
      <w:r>
        <w:t>Creating</w:t>
      </w:r>
      <w:r w:rsidR="00BD229E" w:rsidRPr="007059C9">
        <w:t xml:space="preserve"> </w:t>
      </w:r>
      <w:r w:rsidR="00E3705D" w:rsidRPr="007059C9">
        <w:t xml:space="preserve">quantitative </w:t>
      </w:r>
      <w:r w:rsidR="00BD229E" w:rsidRPr="007059C9">
        <w:t>research designs that have a stronger basis for causal inference</w:t>
      </w:r>
      <w:r w:rsidR="00797B66" w:rsidRPr="007059C9">
        <w:t xml:space="preserve">. </w:t>
      </w:r>
    </w:p>
    <w:p w14:paraId="59297154" w14:textId="77777777" w:rsidR="00B97398" w:rsidRPr="007059C9" w:rsidRDefault="00B97398" w:rsidP="00D5582C"/>
    <w:p w14:paraId="20587983" w14:textId="418B7096" w:rsidR="00797B66" w:rsidRPr="007059C9" w:rsidRDefault="00797B66" w:rsidP="00D5582C">
      <w:pPr>
        <w:rPr>
          <w:b/>
        </w:rPr>
      </w:pPr>
      <w:r w:rsidRPr="007059C9">
        <w:rPr>
          <w:b/>
        </w:rPr>
        <w:t>Prerequisites</w:t>
      </w:r>
    </w:p>
    <w:p w14:paraId="7D3A52E7" w14:textId="7919AC17" w:rsidR="00797B66" w:rsidRPr="007059C9" w:rsidRDefault="002610EC" w:rsidP="002610EC">
      <w:pPr>
        <w:ind w:firstLine="720"/>
      </w:pPr>
      <w:r>
        <w:t>At least one graduate level course</w:t>
      </w:r>
      <w:r w:rsidR="00E3705D" w:rsidRPr="007059C9">
        <w:t xml:space="preserve"> in multiple linear regression</w:t>
      </w:r>
      <w:r w:rsidR="00CA0CA0">
        <w:t xml:space="preserve"> </w:t>
      </w:r>
      <w:r>
        <w:t>analysis</w:t>
      </w:r>
    </w:p>
    <w:p w14:paraId="25531645" w14:textId="77777777" w:rsidR="00BD229E" w:rsidRPr="007059C9" w:rsidRDefault="00BD229E" w:rsidP="00D5582C"/>
    <w:p w14:paraId="591D2A5C" w14:textId="77777777" w:rsidR="00B97398" w:rsidRPr="007059C9" w:rsidRDefault="00B97398" w:rsidP="00D5582C">
      <w:pPr>
        <w:rPr>
          <w:rFonts w:eastAsia="Times New Roman" w:cs="Times New Roman"/>
          <w:b/>
          <w:bCs/>
          <w:color w:val="000000"/>
        </w:rPr>
      </w:pPr>
      <w:r w:rsidRPr="007059C9">
        <w:rPr>
          <w:rFonts w:eastAsia="Times New Roman" w:cs="Times New Roman"/>
          <w:b/>
          <w:bCs/>
          <w:color w:val="000000"/>
        </w:rPr>
        <w:t>Course Sakai Site </w:t>
      </w:r>
    </w:p>
    <w:p w14:paraId="4EEEFE10" w14:textId="3AF75B3E" w:rsidR="00B97398" w:rsidRDefault="00B53490" w:rsidP="00D5582C">
      <w:pPr>
        <w:rPr>
          <w:rFonts w:eastAsia="Times New Roman" w:cs="Times New Roman"/>
          <w:color w:val="000000"/>
        </w:rPr>
      </w:pPr>
      <w:r w:rsidRPr="001709F4">
        <w:rPr>
          <w:rFonts w:eastAsia="Times New Roman" w:cs="Times New Roman"/>
          <w:color w:val="000000"/>
        </w:rPr>
        <w:t>The course S</w:t>
      </w:r>
      <w:r w:rsidR="00B97398" w:rsidRPr="001709F4">
        <w:rPr>
          <w:rFonts w:eastAsia="Times New Roman" w:cs="Times New Roman"/>
          <w:color w:val="000000"/>
        </w:rPr>
        <w:t xml:space="preserve">akai site </w:t>
      </w:r>
      <w:r w:rsidR="001709F4" w:rsidRPr="001709F4">
        <w:rPr>
          <w:rFonts w:eastAsia="Times New Roman" w:cs="Times New Roman"/>
          <w:color w:val="000000"/>
        </w:rPr>
        <w:t>has</w:t>
      </w:r>
      <w:r w:rsidR="00B97398" w:rsidRPr="001709F4">
        <w:rPr>
          <w:rFonts w:eastAsia="Times New Roman" w:cs="Times New Roman"/>
          <w:color w:val="000000"/>
        </w:rPr>
        <w:t xml:space="preserve"> </w:t>
      </w:r>
      <w:proofErr w:type="spellStart"/>
      <w:r w:rsidR="007059C9" w:rsidRPr="001709F4">
        <w:rPr>
          <w:rFonts w:eastAsia="Times New Roman" w:cs="Times New Roman"/>
          <w:color w:val="000000"/>
        </w:rPr>
        <w:t>pdfs</w:t>
      </w:r>
      <w:proofErr w:type="spellEnd"/>
      <w:r w:rsidR="00B97398" w:rsidRPr="001709F4">
        <w:rPr>
          <w:rFonts w:eastAsia="Times New Roman" w:cs="Times New Roman"/>
          <w:color w:val="000000"/>
        </w:rPr>
        <w:t xml:space="preserve"> </w:t>
      </w:r>
      <w:r w:rsidR="007059C9" w:rsidRPr="001709F4">
        <w:rPr>
          <w:rFonts w:eastAsia="Times New Roman" w:cs="Times New Roman"/>
          <w:color w:val="000000"/>
        </w:rPr>
        <w:t>of</w:t>
      </w:r>
      <w:r w:rsidR="00B97398" w:rsidRPr="001709F4">
        <w:rPr>
          <w:rFonts w:eastAsia="Times New Roman" w:cs="Times New Roman"/>
          <w:color w:val="000000"/>
        </w:rPr>
        <w:t xml:space="preserve"> selected readings</w:t>
      </w:r>
      <w:r w:rsidR="007059C9" w:rsidRPr="001709F4">
        <w:rPr>
          <w:rFonts w:eastAsia="Times New Roman" w:cs="Times New Roman"/>
          <w:color w:val="000000"/>
        </w:rPr>
        <w:t xml:space="preserve"> (under Resources)</w:t>
      </w:r>
      <w:r w:rsidR="00B97398" w:rsidRPr="001709F4">
        <w:rPr>
          <w:rFonts w:eastAsia="Times New Roman" w:cs="Times New Roman"/>
          <w:color w:val="000000"/>
        </w:rPr>
        <w:t>.</w:t>
      </w:r>
      <w:r w:rsidR="00B97398" w:rsidRPr="007059C9">
        <w:rPr>
          <w:rFonts w:eastAsia="Times New Roman" w:cs="Times New Roman"/>
          <w:color w:val="000000"/>
        </w:rPr>
        <w:t xml:space="preserve"> Important notices about schedule changes and other operati</w:t>
      </w:r>
      <w:r>
        <w:rPr>
          <w:rFonts w:eastAsia="Times New Roman" w:cs="Times New Roman"/>
          <w:color w:val="000000"/>
        </w:rPr>
        <w:t>onal details will be posted on S</w:t>
      </w:r>
      <w:r w:rsidR="001709F4">
        <w:rPr>
          <w:rFonts w:eastAsia="Times New Roman" w:cs="Times New Roman"/>
          <w:color w:val="000000"/>
        </w:rPr>
        <w:t xml:space="preserve">akai with a cc to your email. </w:t>
      </w:r>
      <w:r w:rsidR="00B97398" w:rsidRPr="007059C9">
        <w:rPr>
          <w:rFonts w:eastAsia="Times New Roman" w:cs="Times New Roman"/>
          <w:color w:val="000000"/>
        </w:rPr>
        <w:t>You are responsi</w:t>
      </w:r>
      <w:r>
        <w:rPr>
          <w:rFonts w:eastAsia="Times New Roman" w:cs="Times New Roman"/>
          <w:color w:val="000000"/>
        </w:rPr>
        <w:t>ble for all information on S</w:t>
      </w:r>
      <w:r w:rsidR="00B97398" w:rsidRPr="007059C9">
        <w:rPr>
          <w:rFonts w:eastAsia="Times New Roman" w:cs="Times New Roman"/>
          <w:color w:val="000000"/>
        </w:rPr>
        <w:t xml:space="preserve">akai </w:t>
      </w:r>
      <w:r w:rsidR="001709F4">
        <w:rPr>
          <w:rFonts w:eastAsia="Times New Roman" w:cs="Times New Roman"/>
          <w:color w:val="000000"/>
        </w:rPr>
        <w:t>and to your email, so please check both regularly. You will submit assignments through</w:t>
      </w:r>
      <w:r w:rsidR="00E57F6C">
        <w:rPr>
          <w:rFonts w:eastAsia="Times New Roman" w:cs="Times New Roman"/>
          <w:color w:val="000000"/>
        </w:rPr>
        <w:t xml:space="preserve"> Sakai and in hard copy in class. </w:t>
      </w:r>
    </w:p>
    <w:p w14:paraId="14C43E32" w14:textId="77777777" w:rsidR="006134E4" w:rsidRDefault="006134E4" w:rsidP="00D5582C">
      <w:pPr>
        <w:rPr>
          <w:rFonts w:eastAsia="Times New Roman" w:cs="Times New Roman"/>
          <w:color w:val="000000"/>
        </w:rPr>
      </w:pPr>
    </w:p>
    <w:p w14:paraId="612BF0CD" w14:textId="77777777" w:rsidR="006134E4" w:rsidRPr="007059C9" w:rsidRDefault="006134E4" w:rsidP="006134E4">
      <w:pPr>
        <w:rPr>
          <w:b/>
        </w:rPr>
      </w:pPr>
      <w:r w:rsidRPr="007059C9">
        <w:rPr>
          <w:b/>
        </w:rPr>
        <w:t>Course Texts</w:t>
      </w:r>
    </w:p>
    <w:p w14:paraId="6DC1DEA2" w14:textId="77777777" w:rsidR="006134E4" w:rsidRPr="007059C9" w:rsidRDefault="006134E4" w:rsidP="006134E4">
      <w:pPr>
        <w:rPr>
          <w:i/>
        </w:rPr>
      </w:pPr>
      <w:r w:rsidRPr="007059C9">
        <w:rPr>
          <w:i/>
        </w:rPr>
        <w:t>All have been ordered by UNC Student Stores and are widely available through online vendors</w:t>
      </w:r>
    </w:p>
    <w:p w14:paraId="4186D7D9" w14:textId="77777777" w:rsidR="006134E4" w:rsidRPr="007059C9" w:rsidRDefault="006134E4" w:rsidP="006134E4"/>
    <w:p w14:paraId="6D13885B" w14:textId="77777777" w:rsidR="006134E4" w:rsidRPr="007059C9" w:rsidRDefault="006134E4" w:rsidP="006134E4">
      <w:pPr>
        <w:rPr>
          <w:i/>
        </w:rPr>
      </w:pPr>
      <w:r w:rsidRPr="007059C9">
        <w:rPr>
          <w:i/>
        </w:rPr>
        <w:t xml:space="preserve">Required </w:t>
      </w:r>
    </w:p>
    <w:p w14:paraId="2162F3D0" w14:textId="77777777" w:rsidR="006134E4" w:rsidRDefault="006134E4" w:rsidP="006134E4">
      <w:pPr>
        <w:widowControl w:val="0"/>
        <w:autoSpaceDE w:val="0"/>
        <w:autoSpaceDN w:val="0"/>
        <w:adjustRightInd w:val="0"/>
        <w:ind w:left="720" w:right="-720" w:hanging="720"/>
        <w:rPr>
          <w:rFonts w:cs="Helvetica"/>
        </w:rPr>
      </w:pPr>
      <w:proofErr w:type="spellStart"/>
      <w:r>
        <w:rPr>
          <w:rFonts w:cs="Helvetica"/>
        </w:rPr>
        <w:t>Hernan</w:t>
      </w:r>
      <w:proofErr w:type="spellEnd"/>
      <w:r>
        <w:rPr>
          <w:rFonts w:cs="Helvetica"/>
        </w:rPr>
        <w:t xml:space="preserve">, M. &amp; Robins, J. (2015). </w:t>
      </w:r>
      <w:r w:rsidRPr="004763BA">
        <w:rPr>
          <w:rFonts w:cs="Helvetica"/>
          <w:i/>
        </w:rPr>
        <w:t>Causal Inference</w:t>
      </w:r>
      <w:r>
        <w:rPr>
          <w:rFonts w:cs="Helvetica"/>
        </w:rPr>
        <w:t xml:space="preserve">. Prepublication drafts available at no cost here: </w:t>
      </w:r>
      <w:hyperlink r:id="rId8" w:history="1">
        <w:r w:rsidRPr="00886A58">
          <w:rPr>
            <w:rStyle w:val="Hyperlink"/>
            <w:rFonts w:cs="Helvetica"/>
          </w:rPr>
          <w:t>http://www.hsph.harvard.edu/miguel-hernan/causal-inference-book/</w:t>
        </w:r>
      </w:hyperlink>
    </w:p>
    <w:p w14:paraId="0DD42372" w14:textId="77777777" w:rsidR="006134E4" w:rsidRPr="007059C9" w:rsidRDefault="006134E4" w:rsidP="006134E4">
      <w:pPr>
        <w:widowControl w:val="0"/>
        <w:autoSpaceDE w:val="0"/>
        <w:autoSpaceDN w:val="0"/>
        <w:adjustRightInd w:val="0"/>
        <w:ind w:left="720" w:right="-720" w:hanging="720"/>
        <w:rPr>
          <w:rFonts w:cs="Helvetica"/>
        </w:rPr>
      </w:pPr>
      <w:r w:rsidRPr="007059C9">
        <w:rPr>
          <w:rFonts w:cs="Helvetica"/>
        </w:rPr>
        <w:t xml:space="preserve">Murnane, R. J., &amp; Willett, J. B. (2010). </w:t>
      </w:r>
      <w:r w:rsidRPr="007059C9">
        <w:rPr>
          <w:rFonts w:cs="Helvetica"/>
          <w:i/>
          <w:iCs/>
        </w:rPr>
        <w:t>Methods matter: Improving causal inference in educational and social science research</w:t>
      </w:r>
      <w:r w:rsidRPr="007059C9">
        <w:rPr>
          <w:rFonts w:cs="Helvetica"/>
        </w:rPr>
        <w:t>: Oxford University Press, USA.</w:t>
      </w:r>
    </w:p>
    <w:p w14:paraId="1E609060" w14:textId="77777777" w:rsidR="006134E4" w:rsidRPr="007059C9" w:rsidRDefault="006134E4" w:rsidP="006134E4">
      <w:pPr>
        <w:widowControl w:val="0"/>
        <w:autoSpaceDE w:val="0"/>
        <w:autoSpaceDN w:val="0"/>
        <w:adjustRightInd w:val="0"/>
        <w:ind w:left="720" w:right="-720" w:hanging="720"/>
        <w:rPr>
          <w:rFonts w:cs="Helvetica"/>
        </w:rPr>
      </w:pPr>
      <w:r w:rsidRPr="007059C9">
        <w:rPr>
          <w:rFonts w:cs="Helvetica"/>
        </w:rPr>
        <w:lastRenderedPageBreak/>
        <w:t xml:space="preserve">Shadish, W. R., Cook, T. D., &amp; Campbell, D. T. (2002). </w:t>
      </w:r>
      <w:r w:rsidRPr="007059C9">
        <w:rPr>
          <w:rFonts w:cs="Helvetica"/>
          <w:i/>
          <w:iCs/>
        </w:rPr>
        <w:t>Experimental and quasi-experimental designs for generalized causal inference</w:t>
      </w:r>
      <w:r w:rsidRPr="007059C9">
        <w:rPr>
          <w:rFonts w:cs="Helvetica"/>
        </w:rPr>
        <w:t xml:space="preserve">: Wadsworth </w:t>
      </w:r>
      <w:proofErr w:type="spellStart"/>
      <w:r w:rsidRPr="007059C9">
        <w:rPr>
          <w:rFonts w:cs="Helvetica"/>
        </w:rPr>
        <w:t>Cengage</w:t>
      </w:r>
      <w:proofErr w:type="spellEnd"/>
      <w:r w:rsidRPr="007059C9">
        <w:rPr>
          <w:rFonts w:cs="Helvetica"/>
        </w:rPr>
        <w:t xml:space="preserve"> learning.</w:t>
      </w:r>
    </w:p>
    <w:p w14:paraId="798F830C" w14:textId="77777777" w:rsidR="006134E4" w:rsidRDefault="006134E4" w:rsidP="006134E4"/>
    <w:p w14:paraId="11A34AD7" w14:textId="1AB09B09" w:rsidR="006134E4" w:rsidRPr="007059C9" w:rsidRDefault="006134E4" w:rsidP="006134E4">
      <w:pPr>
        <w:rPr>
          <w:i/>
        </w:rPr>
      </w:pPr>
      <w:r w:rsidRPr="007059C9">
        <w:rPr>
          <w:i/>
        </w:rPr>
        <w:t>Recommended</w:t>
      </w:r>
    </w:p>
    <w:p w14:paraId="407AC7BD" w14:textId="77777777" w:rsidR="006134E4" w:rsidRPr="007059C9" w:rsidRDefault="006134E4" w:rsidP="006134E4">
      <w:pPr>
        <w:widowControl w:val="0"/>
        <w:autoSpaceDE w:val="0"/>
        <w:autoSpaceDN w:val="0"/>
        <w:adjustRightInd w:val="0"/>
        <w:ind w:left="720" w:right="-720" w:hanging="720"/>
        <w:rPr>
          <w:rFonts w:cs="Helvetica"/>
        </w:rPr>
      </w:pPr>
      <w:proofErr w:type="spellStart"/>
      <w:r w:rsidRPr="007059C9">
        <w:rPr>
          <w:rFonts w:cs="Helvetica"/>
        </w:rPr>
        <w:t>Angrist</w:t>
      </w:r>
      <w:proofErr w:type="spellEnd"/>
      <w:r w:rsidRPr="007059C9">
        <w:rPr>
          <w:rFonts w:cs="Helvetica"/>
        </w:rPr>
        <w:t xml:space="preserve">, J. D., &amp; </w:t>
      </w:r>
      <w:proofErr w:type="spellStart"/>
      <w:r w:rsidRPr="007059C9">
        <w:rPr>
          <w:rFonts w:cs="Helvetica"/>
        </w:rPr>
        <w:t>Pischke</w:t>
      </w:r>
      <w:proofErr w:type="spellEnd"/>
      <w:r w:rsidRPr="007059C9">
        <w:rPr>
          <w:rFonts w:cs="Helvetica"/>
        </w:rPr>
        <w:t xml:space="preserve">, J. S. (2008). </w:t>
      </w:r>
      <w:r w:rsidRPr="007059C9">
        <w:rPr>
          <w:rFonts w:cs="Helvetica"/>
          <w:i/>
          <w:iCs/>
        </w:rPr>
        <w:t>Mostly harmless econometrics: An empiricist's companion</w:t>
      </w:r>
      <w:r w:rsidRPr="007059C9">
        <w:rPr>
          <w:rFonts w:cs="Helvetica"/>
        </w:rPr>
        <w:t>: Princeton University Press.</w:t>
      </w:r>
    </w:p>
    <w:p w14:paraId="414D68E3" w14:textId="77777777" w:rsidR="006134E4" w:rsidRPr="007059C9" w:rsidRDefault="006134E4" w:rsidP="006134E4">
      <w:pPr>
        <w:widowControl w:val="0"/>
        <w:autoSpaceDE w:val="0"/>
        <w:autoSpaceDN w:val="0"/>
        <w:adjustRightInd w:val="0"/>
        <w:ind w:left="720" w:right="-720" w:hanging="720"/>
        <w:rPr>
          <w:rFonts w:cs="Helvetica"/>
        </w:rPr>
      </w:pPr>
      <w:r w:rsidRPr="007059C9">
        <w:rPr>
          <w:rFonts w:cs="Helvetica"/>
        </w:rPr>
        <w:t xml:space="preserve">Firebaugh, G. (2008). </w:t>
      </w:r>
      <w:r w:rsidRPr="007059C9">
        <w:rPr>
          <w:rFonts w:cs="Helvetica"/>
          <w:i/>
          <w:iCs/>
        </w:rPr>
        <w:t>Seven rules for social research</w:t>
      </w:r>
      <w:r w:rsidRPr="007059C9">
        <w:rPr>
          <w:rFonts w:cs="Helvetica"/>
        </w:rPr>
        <w:t>: Princeton University Press.</w:t>
      </w:r>
    </w:p>
    <w:p w14:paraId="01CCFB44" w14:textId="5A3DB740" w:rsidR="00E57F6C" w:rsidRDefault="00E57F6C" w:rsidP="00E57F6C">
      <w:pPr>
        <w:widowControl w:val="0"/>
        <w:autoSpaceDE w:val="0"/>
        <w:autoSpaceDN w:val="0"/>
        <w:adjustRightInd w:val="0"/>
        <w:ind w:left="720" w:right="-720" w:hanging="720"/>
        <w:rPr>
          <w:rFonts w:cs="Helvetica"/>
        </w:rPr>
      </w:pPr>
      <w:r w:rsidRPr="007059C9">
        <w:rPr>
          <w:rFonts w:cs="Helvetica"/>
        </w:rPr>
        <w:t>Mo</w:t>
      </w:r>
      <w:r>
        <w:rPr>
          <w:rFonts w:cs="Helvetica"/>
        </w:rPr>
        <w:t>rgan, S. L., &amp; Winship, C. (2014</w:t>
      </w:r>
      <w:r w:rsidRPr="007059C9">
        <w:rPr>
          <w:rFonts w:cs="Helvetica"/>
        </w:rPr>
        <w:t xml:space="preserve">). </w:t>
      </w:r>
      <w:r w:rsidRPr="007059C9">
        <w:rPr>
          <w:rFonts w:cs="Helvetica"/>
          <w:i/>
          <w:iCs/>
        </w:rPr>
        <w:t>Counterfactuals and causal inference: Methods and principles for social research</w:t>
      </w:r>
      <w:r w:rsidRPr="007059C9">
        <w:rPr>
          <w:rFonts w:cs="Helvetica"/>
        </w:rPr>
        <w:t>: Cambridge University Press.</w:t>
      </w:r>
      <w:r>
        <w:rPr>
          <w:rFonts w:cs="Helvetica"/>
        </w:rPr>
        <w:t xml:space="preserve"> 2</w:t>
      </w:r>
      <w:r w:rsidRPr="00E57F6C">
        <w:rPr>
          <w:rFonts w:cs="Helvetica"/>
          <w:vertAlign w:val="superscript"/>
        </w:rPr>
        <w:t>nd</w:t>
      </w:r>
      <w:r>
        <w:rPr>
          <w:rFonts w:cs="Helvetica"/>
        </w:rPr>
        <w:t xml:space="preserve"> edition</w:t>
      </w:r>
    </w:p>
    <w:p w14:paraId="4792AE0D" w14:textId="1D6B7990" w:rsidR="006134E4" w:rsidRPr="006134E4" w:rsidRDefault="006134E4" w:rsidP="006134E4">
      <w:pPr>
        <w:widowControl w:val="0"/>
        <w:autoSpaceDE w:val="0"/>
        <w:autoSpaceDN w:val="0"/>
        <w:adjustRightInd w:val="0"/>
        <w:ind w:left="720" w:right="-720" w:hanging="720"/>
        <w:rPr>
          <w:rFonts w:cs="Helvetica"/>
        </w:rPr>
      </w:pPr>
      <w:r w:rsidRPr="007059C9">
        <w:rPr>
          <w:rFonts w:cs="Helvetica"/>
        </w:rPr>
        <w:t xml:space="preserve">Wooldridge, J. M. (2009). </w:t>
      </w:r>
      <w:r w:rsidRPr="007059C9">
        <w:rPr>
          <w:rFonts w:cs="Helvetica"/>
          <w:i/>
          <w:iCs/>
        </w:rPr>
        <w:t>Introductory econometrics: A modern approach</w:t>
      </w:r>
      <w:r w:rsidRPr="007059C9">
        <w:rPr>
          <w:rFonts w:cs="Helvetica"/>
        </w:rPr>
        <w:t>: South-Western Pub.</w:t>
      </w:r>
    </w:p>
    <w:p w14:paraId="4F1AFB07" w14:textId="77777777" w:rsidR="00B97398" w:rsidRPr="007059C9" w:rsidRDefault="00B97398" w:rsidP="00D5582C"/>
    <w:p w14:paraId="4281A76F" w14:textId="6A2F0F66" w:rsidR="000C7520" w:rsidRDefault="00EC0809" w:rsidP="00D5582C">
      <w:pPr>
        <w:widowControl w:val="0"/>
        <w:autoSpaceDE w:val="0"/>
        <w:autoSpaceDN w:val="0"/>
        <w:adjustRightInd w:val="0"/>
        <w:rPr>
          <w:rFonts w:cs="Times New Roman"/>
          <w:b/>
        </w:rPr>
      </w:pPr>
      <w:r>
        <w:rPr>
          <w:rFonts w:cs="Times New Roman"/>
          <w:b/>
        </w:rPr>
        <w:t>Assignments</w:t>
      </w:r>
    </w:p>
    <w:p w14:paraId="590A36D2" w14:textId="5F231FCF" w:rsidR="00855822" w:rsidRDefault="00EB6D67" w:rsidP="00EB6D67">
      <w:pPr>
        <w:widowControl w:val="0"/>
        <w:autoSpaceDE w:val="0"/>
        <w:autoSpaceDN w:val="0"/>
        <w:adjustRightInd w:val="0"/>
        <w:rPr>
          <w:rFonts w:cs="Times New Roman"/>
          <w:i/>
        </w:rPr>
      </w:pPr>
      <w:r w:rsidRPr="00855822">
        <w:rPr>
          <w:rFonts w:cs="Times New Roman"/>
          <w:i/>
        </w:rPr>
        <w:t xml:space="preserve">All assignments must be completed individually unless otherwise noted. </w:t>
      </w:r>
    </w:p>
    <w:p w14:paraId="3D7555CD" w14:textId="77777777" w:rsidR="00B97E42" w:rsidRPr="00EB6D67" w:rsidRDefault="00B97E42" w:rsidP="00EB6D67">
      <w:pPr>
        <w:widowControl w:val="0"/>
        <w:autoSpaceDE w:val="0"/>
        <w:autoSpaceDN w:val="0"/>
        <w:adjustRightInd w:val="0"/>
        <w:rPr>
          <w:rFonts w:cs="Times New Roman"/>
          <w:i/>
        </w:rPr>
      </w:pPr>
    </w:p>
    <w:tbl>
      <w:tblPr>
        <w:tblStyle w:val="TableGrid"/>
        <w:tblW w:w="9000" w:type="dxa"/>
        <w:tblInd w:w="108" w:type="dxa"/>
        <w:tblLook w:val="04A0" w:firstRow="1" w:lastRow="0" w:firstColumn="1" w:lastColumn="0" w:noHBand="0" w:noVBand="1"/>
      </w:tblPr>
      <w:tblGrid>
        <w:gridCol w:w="720"/>
        <w:gridCol w:w="6570"/>
        <w:gridCol w:w="1710"/>
      </w:tblGrid>
      <w:tr w:rsidR="00EC0809" w14:paraId="58BDDCF7" w14:textId="77777777" w:rsidTr="00EC0809">
        <w:tc>
          <w:tcPr>
            <w:tcW w:w="720" w:type="dxa"/>
          </w:tcPr>
          <w:p w14:paraId="0B374BC8" w14:textId="38173833" w:rsidR="00EC0809" w:rsidRDefault="00EC0809" w:rsidP="00E10B27">
            <w:pPr>
              <w:tabs>
                <w:tab w:val="left" w:pos="720"/>
              </w:tabs>
            </w:pPr>
            <w:proofErr w:type="spellStart"/>
            <w:r w:rsidRPr="004775CA">
              <w:rPr>
                <w:rFonts w:cs="Times New Roman"/>
                <w:b/>
              </w:rPr>
              <w:t>Pts</w:t>
            </w:r>
            <w:proofErr w:type="spellEnd"/>
          </w:p>
        </w:tc>
        <w:tc>
          <w:tcPr>
            <w:tcW w:w="6570" w:type="dxa"/>
          </w:tcPr>
          <w:p w14:paraId="6362F732" w14:textId="6DD3C4AE" w:rsidR="00EC0809" w:rsidRDefault="00EC0809" w:rsidP="00E10B27">
            <w:pPr>
              <w:tabs>
                <w:tab w:val="left" w:pos="720"/>
              </w:tabs>
            </w:pPr>
            <w:r w:rsidRPr="004775CA">
              <w:rPr>
                <w:rFonts w:cs="Times New Roman"/>
                <w:b/>
              </w:rPr>
              <w:t>Assignment</w:t>
            </w:r>
          </w:p>
        </w:tc>
        <w:tc>
          <w:tcPr>
            <w:tcW w:w="1710" w:type="dxa"/>
          </w:tcPr>
          <w:p w14:paraId="66B21433" w14:textId="42A72B4E" w:rsidR="00EC0809" w:rsidRPr="00EC0809" w:rsidRDefault="00EC0809" w:rsidP="00E10B27">
            <w:pPr>
              <w:tabs>
                <w:tab w:val="left" w:pos="720"/>
              </w:tabs>
              <w:rPr>
                <w:b/>
              </w:rPr>
            </w:pPr>
            <w:r w:rsidRPr="00EC0809">
              <w:rPr>
                <w:b/>
              </w:rPr>
              <w:t>Due Date</w:t>
            </w:r>
          </w:p>
        </w:tc>
      </w:tr>
      <w:tr w:rsidR="00EB6D67" w14:paraId="67840059" w14:textId="77777777" w:rsidTr="00EB6D67">
        <w:tc>
          <w:tcPr>
            <w:tcW w:w="720" w:type="dxa"/>
          </w:tcPr>
          <w:p w14:paraId="72775ED9" w14:textId="77777777" w:rsidR="00EB6D67" w:rsidRDefault="00EB6D67" w:rsidP="00EB6D67">
            <w:pPr>
              <w:tabs>
                <w:tab w:val="left" w:pos="720"/>
              </w:tabs>
            </w:pPr>
            <w:r w:rsidRPr="004775CA">
              <w:t xml:space="preserve">10 </w:t>
            </w:r>
          </w:p>
        </w:tc>
        <w:tc>
          <w:tcPr>
            <w:tcW w:w="6570" w:type="dxa"/>
          </w:tcPr>
          <w:p w14:paraId="687EA676" w14:textId="4DBD6B14" w:rsidR="00EB6D67" w:rsidRDefault="00EB6D67" w:rsidP="00EB6D67">
            <w:pPr>
              <w:tabs>
                <w:tab w:val="left" w:pos="720"/>
              </w:tabs>
            </w:pPr>
            <w:r w:rsidRPr="004775CA">
              <w:t>S</w:t>
            </w:r>
            <w:r w:rsidR="00B344B4">
              <w:t>imulation  / DAGs –</w:t>
            </w:r>
            <w:r w:rsidRPr="004775CA">
              <w:t xml:space="preserve"> exercise</w:t>
            </w:r>
            <w:r w:rsidR="00B344B4">
              <w:t xml:space="preserve"> / problem set</w:t>
            </w:r>
          </w:p>
        </w:tc>
        <w:tc>
          <w:tcPr>
            <w:tcW w:w="1710" w:type="dxa"/>
          </w:tcPr>
          <w:p w14:paraId="5DC4F1FB" w14:textId="71EBACFD" w:rsidR="00EB6D67" w:rsidRDefault="00EB6D67" w:rsidP="00EB6D67">
            <w:pPr>
              <w:tabs>
                <w:tab w:val="left" w:pos="720"/>
              </w:tabs>
            </w:pPr>
            <w:r>
              <w:t>Sept</w:t>
            </w:r>
            <w:r w:rsidR="00B344B4">
              <w:t>.</w:t>
            </w:r>
            <w:r>
              <w:t xml:space="preserve"> </w:t>
            </w:r>
            <w:r w:rsidR="00B344B4">
              <w:t>8</w:t>
            </w:r>
          </w:p>
        </w:tc>
      </w:tr>
      <w:tr w:rsidR="00EC0809" w14:paraId="683E776E" w14:textId="77777777" w:rsidTr="00EC0809">
        <w:tc>
          <w:tcPr>
            <w:tcW w:w="720" w:type="dxa"/>
          </w:tcPr>
          <w:p w14:paraId="06D2D3EA" w14:textId="5BC8DAF7" w:rsidR="00EC0809" w:rsidRDefault="007220C0" w:rsidP="00E10B27">
            <w:pPr>
              <w:tabs>
                <w:tab w:val="left" w:pos="720"/>
              </w:tabs>
            </w:pPr>
            <w:r>
              <w:t>15</w:t>
            </w:r>
          </w:p>
        </w:tc>
        <w:tc>
          <w:tcPr>
            <w:tcW w:w="6570" w:type="dxa"/>
          </w:tcPr>
          <w:p w14:paraId="611865DD" w14:textId="2C7992B3" w:rsidR="00EC0809" w:rsidRDefault="00EC0809" w:rsidP="00E57F6C">
            <w:pPr>
              <w:tabs>
                <w:tab w:val="left" w:pos="720"/>
              </w:tabs>
            </w:pPr>
            <w:r w:rsidRPr="004775CA">
              <w:t xml:space="preserve">Theory of causal inference </w:t>
            </w:r>
            <w:r w:rsidR="00094CA9">
              <w:t>take-at-</w:t>
            </w:r>
            <w:r w:rsidR="00B344B4">
              <w:t xml:space="preserve">home </w:t>
            </w:r>
            <w:r w:rsidR="00E57F6C">
              <w:t>exam</w:t>
            </w:r>
          </w:p>
        </w:tc>
        <w:tc>
          <w:tcPr>
            <w:tcW w:w="1710" w:type="dxa"/>
          </w:tcPr>
          <w:p w14:paraId="0008AF6C" w14:textId="4EFDB9C0" w:rsidR="00EC0809" w:rsidRDefault="00EB6D67" w:rsidP="00E10B27">
            <w:pPr>
              <w:tabs>
                <w:tab w:val="left" w:pos="720"/>
              </w:tabs>
            </w:pPr>
            <w:r>
              <w:t>Sept</w:t>
            </w:r>
            <w:r w:rsidR="00B344B4">
              <w:t>.</w:t>
            </w:r>
            <w:r>
              <w:t xml:space="preserve"> </w:t>
            </w:r>
            <w:r w:rsidR="00B344B4">
              <w:t>10, 7-9</w:t>
            </w:r>
            <w:r w:rsidR="00094CA9">
              <w:t xml:space="preserve"> </w:t>
            </w:r>
            <w:r w:rsidR="00B344B4">
              <w:t>pm</w:t>
            </w:r>
          </w:p>
        </w:tc>
      </w:tr>
      <w:tr w:rsidR="00EC0809" w14:paraId="208C3DA7" w14:textId="77777777" w:rsidTr="00EC0809">
        <w:tc>
          <w:tcPr>
            <w:tcW w:w="720" w:type="dxa"/>
          </w:tcPr>
          <w:p w14:paraId="760800AF" w14:textId="67E4B9E5" w:rsidR="00EC0809" w:rsidRDefault="00094CA9" w:rsidP="00E10B27">
            <w:pPr>
              <w:tabs>
                <w:tab w:val="left" w:pos="720"/>
              </w:tabs>
            </w:pPr>
            <w:r>
              <w:t>10</w:t>
            </w:r>
            <w:r w:rsidR="00EC0809" w:rsidRPr="004775CA">
              <w:t xml:space="preserve"> </w:t>
            </w:r>
          </w:p>
        </w:tc>
        <w:tc>
          <w:tcPr>
            <w:tcW w:w="6570" w:type="dxa"/>
          </w:tcPr>
          <w:p w14:paraId="2C0F276C" w14:textId="7DB36122" w:rsidR="00316375" w:rsidRDefault="00EE7678" w:rsidP="00C82EA0">
            <w:pPr>
              <w:tabs>
                <w:tab w:val="left" w:pos="720"/>
              </w:tabs>
            </w:pPr>
            <w:r>
              <w:t>One</w:t>
            </w:r>
            <w:r w:rsidR="00E57F6C">
              <w:t xml:space="preserve"> </w:t>
            </w:r>
            <w:r>
              <w:t>b</w:t>
            </w:r>
            <w:r w:rsidR="00EC0809" w:rsidRPr="004775CA">
              <w:t>rief in-class presentation</w:t>
            </w:r>
            <w:r w:rsidR="00EF458B">
              <w:t xml:space="preserve"> (~20 minutes)</w:t>
            </w:r>
            <w:r w:rsidR="00EC0809" w:rsidRPr="004775CA">
              <w:t xml:space="preserve"> of an empirical paper </w:t>
            </w:r>
            <w:r w:rsidR="00C23EC3">
              <w:t>critically evaluating</w:t>
            </w:r>
            <w:r w:rsidR="00EC0809" w:rsidRPr="004775CA">
              <w:t xml:space="preserve"> its research design</w:t>
            </w:r>
            <w:r w:rsidR="00316375">
              <w:t xml:space="preserve"> – oral, no written component. You may choose one that is on the syllabus (see the Applications readings on the syllabus, below) or one that you select for the cla</w:t>
            </w:r>
            <w:r w:rsidR="00C82EA0">
              <w:t xml:space="preserve">ss. Any reading selections you propose to discuss </w:t>
            </w:r>
            <w:r w:rsidR="00316375">
              <w:t>must be cleared with the professor two weeks in advance o</w:t>
            </w:r>
            <w:r w:rsidR="00E12252">
              <w:t>f the date of the presentation AND the proposed paper</w:t>
            </w:r>
            <w:r w:rsidR="00C82EA0">
              <w:t xml:space="preserve"> must use a research design we are scheduled to discuss on the day of the paper presentation. </w:t>
            </w:r>
            <w:r w:rsidR="00316375">
              <w:t>See Sakai wiki site under “A</w:t>
            </w:r>
            <w:r w:rsidR="00C82EA0">
              <w:t>pplications Paper Presentations</w:t>
            </w:r>
            <w:r w:rsidR="00316375">
              <w:t>”</w:t>
            </w:r>
            <w:r w:rsidR="00C82EA0">
              <w:t xml:space="preserve"> for more details. </w:t>
            </w:r>
            <w:r w:rsidR="00316375">
              <w:t xml:space="preserve"> </w:t>
            </w:r>
          </w:p>
        </w:tc>
        <w:tc>
          <w:tcPr>
            <w:tcW w:w="1710" w:type="dxa"/>
          </w:tcPr>
          <w:p w14:paraId="5C6818CC" w14:textId="763CA5C7" w:rsidR="00EC0809" w:rsidRDefault="00EB6D67" w:rsidP="00E10B27">
            <w:pPr>
              <w:tabs>
                <w:tab w:val="left" w:pos="720"/>
              </w:tabs>
            </w:pPr>
            <w:r>
              <w:t>Various</w:t>
            </w:r>
          </w:p>
        </w:tc>
      </w:tr>
      <w:tr w:rsidR="00EC0809" w14:paraId="678EBAE9" w14:textId="77777777" w:rsidTr="00EC0809">
        <w:tc>
          <w:tcPr>
            <w:tcW w:w="720" w:type="dxa"/>
          </w:tcPr>
          <w:p w14:paraId="67939A46" w14:textId="5D71B872" w:rsidR="00EC0809" w:rsidRDefault="00EC0809" w:rsidP="00E10B27">
            <w:pPr>
              <w:tabs>
                <w:tab w:val="left" w:pos="720"/>
              </w:tabs>
            </w:pPr>
            <w:r w:rsidRPr="004775CA">
              <w:t xml:space="preserve">20 </w:t>
            </w:r>
          </w:p>
        </w:tc>
        <w:tc>
          <w:tcPr>
            <w:tcW w:w="6570" w:type="dxa"/>
          </w:tcPr>
          <w:p w14:paraId="24926A77" w14:textId="20E5F7BE" w:rsidR="00EC0809" w:rsidRDefault="001B27BD" w:rsidP="00E10B27">
            <w:pPr>
              <w:tabs>
                <w:tab w:val="left" w:pos="720"/>
              </w:tabs>
            </w:pPr>
            <w:r>
              <w:t>Research design</w:t>
            </w:r>
            <w:r w:rsidR="00EF458B">
              <w:t xml:space="preserve"> #1</w:t>
            </w:r>
            <w:r w:rsidR="007220C0">
              <w:t>*</w:t>
            </w:r>
            <w:r w:rsidR="00EC0809" w:rsidRPr="004775CA">
              <w:t xml:space="preserve"> – closed ended, written, approx. 4-6 pages</w:t>
            </w:r>
          </w:p>
        </w:tc>
        <w:tc>
          <w:tcPr>
            <w:tcW w:w="1710" w:type="dxa"/>
          </w:tcPr>
          <w:p w14:paraId="200B2B74" w14:textId="4C193D53" w:rsidR="00EC0809" w:rsidRDefault="00B344B4" w:rsidP="00E10B27">
            <w:pPr>
              <w:tabs>
                <w:tab w:val="left" w:pos="720"/>
              </w:tabs>
            </w:pPr>
            <w:r>
              <w:t>Nov. 3</w:t>
            </w:r>
          </w:p>
        </w:tc>
      </w:tr>
      <w:tr w:rsidR="001B27BD" w14:paraId="4AFE0BB9" w14:textId="77777777" w:rsidTr="00EC0809">
        <w:tc>
          <w:tcPr>
            <w:tcW w:w="720" w:type="dxa"/>
          </w:tcPr>
          <w:p w14:paraId="574838AD" w14:textId="078D16E1" w:rsidR="001B27BD" w:rsidRDefault="00094CA9" w:rsidP="00E10B27">
            <w:pPr>
              <w:tabs>
                <w:tab w:val="left" w:pos="720"/>
              </w:tabs>
            </w:pPr>
            <w:r>
              <w:t>30</w:t>
            </w:r>
            <w:r w:rsidR="001B27BD" w:rsidRPr="004775CA">
              <w:t xml:space="preserve"> </w:t>
            </w:r>
          </w:p>
        </w:tc>
        <w:tc>
          <w:tcPr>
            <w:tcW w:w="6570" w:type="dxa"/>
          </w:tcPr>
          <w:p w14:paraId="08B327D5" w14:textId="6FF483B5" w:rsidR="001B27BD" w:rsidRDefault="007220C0" w:rsidP="00E10B27">
            <w:pPr>
              <w:tabs>
                <w:tab w:val="left" w:pos="720"/>
              </w:tabs>
            </w:pPr>
            <w:r>
              <w:t>Research design</w:t>
            </w:r>
            <w:r w:rsidR="00EF458B">
              <w:t xml:space="preserve"> #2</w:t>
            </w:r>
            <w:r>
              <w:t>* and presentation</w:t>
            </w:r>
            <w:r w:rsidR="00B344B4">
              <w:t xml:space="preserve"> (~35</w:t>
            </w:r>
            <w:r w:rsidR="00EF458B">
              <w:t xml:space="preserve"> minutes)</w:t>
            </w:r>
            <w:r w:rsidR="001B27BD" w:rsidRPr="004775CA">
              <w:t xml:space="preserve"> – open ended – must be IV, RD, </w:t>
            </w:r>
            <w:r w:rsidR="00736F32">
              <w:t>C</w:t>
            </w:r>
            <w:r w:rsidR="001B27BD" w:rsidRPr="004775CA">
              <w:t>ITS, DD, or FE – four page single spaced handout and oral present</w:t>
            </w:r>
            <w:r w:rsidR="00094CA9">
              <w:t xml:space="preserve">ation. </w:t>
            </w:r>
            <w:r w:rsidR="00094CA9" w:rsidRPr="00094CA9">
              <w:rPr>
                <w:b/>
                <w:u w:val="single"/>
              </w:rPr>
              <w:t>T</w:t>
            </w:r>
            <w:r w:rsidR="001B27BD" w:rsidRPr="00094CA9">
              <w:rPr>
                <w:b/>
                <w:u w:val="single"/>
              </w:rPr>
              <w:t>eams of two</w:t>
            </w:r>
            <w:r w:rsidR="00094CA9">
              <w:t xml:space="preserve"> students per research design. </w:t>
            </w:r>
          </w:p>
        </w:tc>
        <w:tc>
          <w:tcPr>
            <w:tcW w:w="1710" w:type="dxa"/>
          </w:tcPr>
          <w:p w14:paraId="5C0BC7D5" w14:textId="7F526C18" w:rsidR="001B27BD" w:rsidRDefault="00B344B4" w:rsidP="00E10B27">
            <w:pPr>
              <w:tabs>
                <w:tab w:val="left" w:pos="720"/>
              </w:tabs>
            </w:pPr>
            <w:r>
              <w:t>Nov. 17-24</w:t>
            </w:r>
          </w:p>
        </w:tc>
      </w:tr>
      <w:tr w:rsidR="001B27BD" w14:paraId="6F5DD292" w14:textId="77777777" w:rsidTr="00EC0809">
        <w:tc>
          <w:tcPr>
            <w:tcW w:w="720" w:type="dxa"/>
          </w:tcPr>
          <w:p w14:paraId="05E94E4F" w14:textId="3F28DD71" w:rsidR="001B27BD" w:rsidRDefault="00094CA9" w:rsidP="00E10B27">
            <w:pPr>
              <w:tabs>
                <w:tab w:val="left" w:pos="720"/>
              </w:tabs>
            </w:pPr>
            <w:r>
              <w:t>15</w:t>
            </w:r>
          </w:p>
        </w:tc>
        <w:tc>
          <w:tcPr>
            <w:tcW w:w="6570" w:type="dxa"/>
          </w:tcPr>
          <w:p w14:paraId="626DCECA" w14:textId="12F3064C" w:rsidR="001B27BD" w:rsidRDefault="001B27BD" w:rsidP="0001442A">
            <w:pPr>
              <w:tabs>
                <w:tab w:val="left" w:pos="720"/>
              </w:tabs>
            </w:pPr>
            <w:r w:rsidRPr="004775CA">
              <w:t>Participation</w:t>
            </w:r>
            <w:r w:rsidR="0001442A">
              <w:t xml:space="preserve"> – quantity and quality of contributions to class discussion. </w:t>
            </w:r>
          </w:p>
        </w:tc>
        <w:tc>
          <w:tcPr>
            <w:tcW w:w="1710" w:type="dxa"/>
          </w:tcPr>
          <w:p w14:paraId="29A30E06" w14:textId="5AC270F1" w:rsidR="001B27BD" w:rsidRDefault="001B27BD" w:rsidP="00E10B27">
            <w:pPr>
              <w:tabs>
                <w:tab w:val="left" w:pos="720"/>
              </w:tabs>
            </w:pPr>
            <w:r>
              <w:t>Always!</w:t>
            </w:r>
          </w:p>
        </w:tc>
      </w:tr>
    </w:tbl>
    <w:p w14:paraId="5087F8E4" w14:textId="77777777" w:rsidR="008C7F6E" w:rsidRDefault="008C7F6E" w:rsidP="00D5582C">
      <w:pPr>
        <w:widowControl w:val="0"/>
        <w:autoSpaceDE w:val="0"/>
        <w:autoSpaceDN w:val="0"/>
        <w:adjustRightInd w:val="0"/>
        <w:rPr>
          <w:rFonts w:cs="Times New Roman"/>
        </w:rPr>
      </w:pPr>
    </w:p>
    <w:p w14:paraId="7B034BF9" w14:textId="33727F06" w:rsidR="00EB6D67" w:rsidRDefault="006134E4" w:rsidP="00D5582C">
      <w:pPr>
        <w:widowControl w:val="0"/>
        <w:autoSpaceDE w:val="0"/>
        <w:autoSpaceDN w:val="0"/>
        <w:adjustRightInd w:val="0"/>
        <w:rPr>
          <w:rFonts w:cs="Times New Roman"/>
        </w:rPr>
      </w:pPr>
      <w:r>
        <w:rPr>
          <w:rFonts w:cs="Times New Roman"/>
        </w:rPr>
        <w:t>* Note: Any design</w:t>
      </w:r>
      <w:r w:rsidR="00EB6D67">
        <w:rPr>
          <w:rFonts w:cs="Times New Roman"/>
        </w:rPr>
        <w:t xml:space="preserve"> receiving a grade of</w:t>
      </w:r>
      <w:r>
        <w:rPr>
          <w:rFonts w:cs="Times New Roman"/>
        </w:rPr>
        <w:t xml:space="preserve"> “fail” or “low pass” will be permitted a one-week revise and resubmit period in whi</w:t>
      </w:r>
      <w:r w:rsidR="007220C0">
        <w:rPr>
          <w:rFonts w:cs="Times New Roman"/>
        </w:rPr>
        <w:t>ch the written portion</w:t>
      </w:r>
      <w:r>
        <w:rPr>
          <w:rFonts w:cs="Times New Roman"/>
        </w:rPr>
        <w:t xml:space="preserve"> will be re</w:t>
      </w:r>
      <w:r w:rsidR="007220C0">
        <w:rPr>
          <w:rFonts w:cs="Times New Roman"/>
        </w:rPr>
        <w:t>-</w:t>
      </w:r>
      <w:r>
        <w:rPr>
          <w:rFonts w:cs="Times New Roman"/>
        </w:rPr>
        <w:t>graded. A revised design will be graded no higher than a “pass.”</w:t>
      </w:r>
    </w:p>
    <w:p w14:paraId="3FBF5D99" w14:textId="77777777" w:rsidR="00EB6D67" w:rsidRPr="007059C9" w:rsidRDefault="00EB6D67" w:rsidP="00D5582C">
      <w:pPr>
        <w:widowControl w:val="0"/>
        <w:autoSpaceDE w:val="0"/>
        <w:autoSpaceDN w:val="0"/>
        <w:adjustRightInd w:val="0"/>
        <w:rPr>
          <w:rFonts w:cs="Times New Roman"/>
        </w:rPr>
      </w:pPr>
    </w:p>
    <w:p w14:paraId="24C787D6" w14:textId="77777777" w:rsidR="00B53490" w:rsidRDefault="000C7520" w:rsidP="00D5582C">
      <w:pPr>
        <w:widowControl w:val="0"/>
        <w:autoSpaceDE w:val="0"/>
        <w:autoSpaceDN w:val="0"/>
        <w:adjustRightInd w:val="0"/>
        <w:rPr>
          <w:rFonts w:cs="Times New Roman"/>
        </w:rPr>
      </w:pPr>
      <w:r w:rsidRPr="00B53490">
        <w:rPr>
          <w:rFonts w:cs="Times New Roman"/>
          <w:b/>
        </w:rPr>
        <w:t>Grading</w:t>
      </w:r>
    </w:p>
    <w:p w14:paraId="67FB47DE" w14:textId="15B2DCA9" w:rsidR="000C7520" w:rsidRDefault="000C2A12" w:rsidP="00D5582C">
      <w:pPr>
        <w:widowControl w:val="0"/>
        <w:autoSpaceDE w:val="0"/>
        <w:autoSpaceDN w:val="0"/>
        <w:adjustRightInd w:val="0"/>
        <w:rPr>
          <w:rFonts w:cs="Times New Roman"/>
        </w:rPr>
      </w:pPr>
      <w:r>
        <w:rPr>
          <w:rFonts w:cs="Times New Roman"/>
        </w:rPr>
        <w:t>Graduate student grades at UNC are assigned as follows: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
        <w:gridCol w:w="4228"/>
      </w:tblGrid>
      <w:tr w:rsidR="005310A7" w:rsidRPr="005310A7" w14:paraId="2973C298" w14:textId="77777777" w:rsidTr="005310A7">
        <w:trPr>
          <w:tblCellSpacing w:w="15" w:type="dxa"/>
        </w:trPr>
        <w:tc>
          <w:tcPr>
            <w:tcW w:w="0" w:type="auto"/>
            <w:vAlign w:val="center"/>
            <w:hideMark/>
          </w:tcPr>
          <w:p w14:paraId="17D983BF" w14:textId="77777777" w:rsidR="005310A7" w:rsidRPr="00D5582C" w:rsidRDefault="005310A7" w:rsidP="00D5582C">
            <w:pPr>
              <w:rPr>
                <w:rFonts w:eastAsia="Times New Roman" w:cs="Times New Roman"/>
                <w:szCs w:val="20"/>
              </w:rPr>
            </w:pPr>
            <w:r w:rsidRPr="00D5582C">
              <w:rPr>
                <w:rFonts w:eastAsia="Times New Roman" w:cs="Times New Roman"/>
                <w:b/>
                <w:bCs/>
                <w:szCs w:val="20"/>
              </w:rPr>
              <w:t>H</w:t>
            </w:r>
          </w:p>
        </w:tc>
        <w:tc>
          <w:tcPr>
            <w:tcW w:w="0" w:type="auto"/>
            <w:vAlign w:val="center"/>
            <w:hideMark/>
          </w:tcPr>
          <w:p w14:paraId="0E9FF481" w14:textId="77777777" w:rsidR="005310A7" w:rsidRPr="00D5582C" w:rsidRDefault="005310A7" w:rsidP="00D5582C">
            <w:pPr>
              <w:rPr>
                <w:rFonts w:eastAsia="Times New Roman" w:cs="Times New Roman"/>
                <w:szCs w:val="20"/>
              </w:rPr>
            </w:pPr>
            <w:r w:rsidRPr="00D5582C">
              <w:rPr>
                <w:rFonts w:eastAsia="Times New Roman" w:cs="Times New Roman"/>
                <w:szCs w:val="20"/>
              </w:rPr>
              <w:t>High Pass - Clear Excellence</w:t>
            </w:r>
          </w:p>
        </w:tc>
      </w:tr>
      <w:tr w:rsidR="005310A7" w:rsidRPr="005310A7" w14:paraId="77519D85" w14:textId="77777777" w:rsidTr="005310A7">
        <w:trPr>
          <w:tblCellSpacing w:w="15" w:type="dxa"/>
        </w:trPr>
        <w:tc>
          <w:tcPr>
            <w:tcW w:w="0" w:type="auto"/>
            <w:vAlign w:val="center"/>
            <w:hideMark/>
          </w:tcPr>
          <w:p w14:paraId="58FD10DE" w14:textId="77777777" w:rsidR="005310A7" w:rsidRPr="00D5582C" w:rsidRDefault="005310A7" w:rsidP="00D5582C">
            <w:pPr>
              <w:rPr>
                <w:rFonts w:eastAsia="Times New Roman" w:cs="Times New Roman"/>
                <w:szCs w:val="20"/>
              </w:rPr>
            </w:pPr>
            <w:r w:rsidRPr="00D5582C">
              <w:rPr>
                <w:rFonts w:eastAsia="Times New Roman" w:cs="Times New Roman"/>
                <w:b/>
                <w:bCs/>
                <w:szCs w:val="20"/>
              </w:rPr>
              <w:t>P</w:t>
            </w:r>
          </w:p>
        </w:tc>
        <w:tc>
          <w:tcPr>
            <w:tcW w:w="0" w:type="auto"/>
            <w:vAlign w:val="center"/>
            <w:hideMark/>
          </w:tcPr>
          <w:p w14:paraId="7F7CF1B5" w14:textId="77777777" w:rsidR="005310A7" w:rsidRPr="00D5582C" w:rsidRDefault="005310A7" w:rsidP="00D5582C">
            <w:pPr>
              <w:rPr>
                <w:rFonts w:eastAsia="Times New Roman" w:cs="Times New Roman"/>
                <w:szCs w:val="20"/>
              </w:rPr>
            </w:pPr>
            <w:r w:rsidRPr="00D5582C">
              <w:rPr>
                <w:rFonts w:eastAsia="Times New Roman" w:cs="Times New Roman"/>
                <w:szCs w:val="20"/>
              </w:rPr>
              <w:t>Pass - Entirely Satisfactory Graduate Work</w:t>
            </w:r>
          </w:p>
        </w:tc>
      </w:tr>
      <w:tr w:rsidR="005310A7" w:rsidRPr="005310A7" w14:paraId="4AB4C460" w14:textId="77777777" w:rsidTr="005310A7">
        <w:trPr>
          <w:tblCellSpacing w:w="15" w:type="dxa"/>
        </w:trPr>
        <w:tc>
          <w:tcPr>
            <w:tcW w:w="0" w:type="auto"/>
            <w:vAlign w:val="center"/>
            <w:hideMark/>
          </w:tcPr>
          <w:p w14:paraId="1114DF65" w14:textId="77777777" w:rsidR="005310A7" w:rsidRPr="00D5582C" w:rsidRDefault="005310A7" w:rsidP="00D5582C">
            <w:pPr>
              <w:rPr>
                <w:rFonts w:eastAsia="Times New Roman" w:cs="Times New Roman"/>
                <w:szCs w:val="20"/>
              </w:rPr>
            </w:pPr>
            <w:r w:rsidRPr="00D5582C">
              <w:rPr>
                <w:rFonts w:eastAsia="Times New Roman" w:cs="Times New Roman"/>
                <w:b/>
                <w:bCs/>
                <w:szCs w:val="20"/>
              </w:rPr>
              <w:t>L</w:t>
            </w:r>
          </w:p>
        </w:tc>
        <w:tc>
          <w:tcPr>
            <w:tcW w:w="0" w:type="auto"/>
            <w:vAlign w:val="center"/>
            <w:hideMark/>
          </w:tcPr>
          <w:p w14:paraId="68CAE4B4" w14:textId="77777777" w:rsidR="005310A7" w:rsidRPr="00D5582C" w:rsidRDefault="005310A7" w:rsidP="00D5582C">
            <w:pPr>
              <w:rPr>
                <w:rFonts w:eastAsia="Times New Roman" w:cs="Times New Roman"/>
                <w:szCs w:val="20"/>
              </w:rPr>
            </w:pPr>
            <w:r w:rsidRPr="00D5582C">
              <w:rPr>
                <w:rFonts w:eastAsia="Times New Roman" w:cs="Times New Roman"/>
                <w:szCs w:val="20"/>
              </w:rPr>
              <w:t>Low Pass - Inadequate Graduate Work</w:t>
            </w:r>
          </w:p>
        </w:tc>
      </w:tr>
      <w:tr w:rsidR="005310A7" w:rsidRPr="005310A7" w14:paraId="0AF176A2" w14:textId="77777777" w:rsidTr="005310A7">
        <w:trPr>
          <w:tblCellSpacing w:w="15" w:type="dxa"/>
        </w:trPr>
        <w:tc>
          <w:tcPr>
            <w:tcW w:w="0" w:type="auto"/>
            <w:vAlign w:val="center"/>
            <w:hideMark/>
          </w:tcPr>
          <w:p w14:paraId="13DE81CD" w14:textId="77777777" w:rsidR="005310A7" w:rsidRPr="00D5582C" w:rsidRDefault="005310A7" w:rsidP="00D5582C">
            <w:pPr>
              <w:rPr>
                <w:rFonts w:eastAsia="Times New Roman" w:cs="Times New Roman"/>
                <w:szCs w:val="20"/>
              </w:rPr>
            </w:pPr>
            <w:r w:rsidRPr="00D5582C">
              <w:rPr>
                <w:rFonts w:eastAsia="Times New Roman" w:cs="Times New Roman"/>
                <w:b/>
                <w:bCs/>
                <w:szCs w:val="20"/>
              </w:rPr>
              <w:t>F</w:t>
            </w:r>
          </w:p>
        </w:tc>
        <w:tc>
          <w:tcPr>
            <w:tcW w:w="0" w:type="auto"/>
            <w:vAlign w:val="center"/>
            <w:hideMark/>
          </w:tcPr>
          <w:p w14:paraId="5A2650AA" w14:textId="77777777" w:rsidR="005310A7" w:rsidRPr="00D5582C" w:rsidRDefault="005310A7" w:rsidP="00D5582C">
            <w:pPr>
              <w:rPr>
                <w:rFonts w:eastAsia="Times New Roman" w:cs="Times New Roman"/>
                <w:szCs w:val="20"/>
              </w:rPr>
            </w:pPr>
            <w:r w:rsidRPr="00D5582C">
              <w:rPr>
                <w:rFonts w:eastAsia="Times New Roman" w:cs="Times New Roman"/>
                <w:szCs w:val="20"/>
              </w:rPr>
              <w:t>Fail</w:t>
            </w:r>
          </w:p>
        </w:tc>
      </w:tr>
    </w:tbl>
    <w:p w14:paraId="7E4E4095" w14:textId="77777777" w:rsidR="00D5582C" w:rsidRDefault="00D5582C" w:rsidP="00D5582C">
      <w:pPr>
        <w:widowControl w:val="0"/>
        <w:autoSpaceDE w:val="0"/>
        <w:autoSpaceDN w:val="0"/>
        <w:adjustRightInd w:val="0"/>
        <w:rPr>
          <w:rFonts w:cs="Times New Roman"/>
        </w:rPr>
      </w:pPr>
    </w:p>
    <w:p w14:paraId="42851787" w14:textId="28DF0C6D" w:rsidR="000C2A12" w:rsidRDefault="000C2A12" w:rsidP="00D5582C">
      <w:pPr>
        <w:widowControl w:val="0"/>
        <w:autoSpaceDE w:val="0"/>
        <w:autoSpaceDN w:val="0"/>
        <w:adjustRightInd w:val="0"/>
        <w:rPr>
          <w:rFonts w:cs="Times New Roman"/>
        </w:rPr>
      </w:pPr>
      <w:r>
        <w:rPr>
          <w:rFonts w:cs="Times New Roman"/>
        </w:rPr>
        <w:t>All assig</w:t>
      </w:r>
      <w:r w:rsidR="006134E4">
        <w:rPr>
          <w:rFonts w:cs="Times New Roman"/>
        </w:rPr>
        <w:t>nments will be graded on a four-</w:t>
      </w:r>
      <w:r>
        <w:rPr>
          <w:rFonts w:cs="Times New Roman"/>
        </w:rPr>
        <w:t>point scale: 1 (fail), 2 (low pass), 3 (pass), 4 (high pass). Scores will be weighted</w:t>
      </w:r>
      <w:r w:rsidR="00EC0809">
        <w:rPr>
          <w:rFonts w:cs="Times New Roman"/>
        </w:rPr>
        <w:t xml:space="preserve"> by point value</w:t>
      </w:r>
      <w:r>
        <w:rPr>
          <w:rFonts w:cs="Times New Roman"/>
        </w:rPr>
        <w:t xml:space="preserve"> and averaged to create a final grade composite</w:t>
      </w:r>
      <w:r w:rsidR="00A734F7">
        <w:rPr>
          <w:rFonts w:cs="Times New Roman"/>
        </w:rPr>
        <w:t xml:space="preserve"> score</w:t>
      </w:r>
      <w:r>
        <w:rPr>
          <w:rFonts w:cs="Times New Roman"/>
        </w:rPr>
        <w:t>. Final grades will be awarded based on the following translation of points to grades:</w:t>
      </w:r>
    </w:p>
    <w:p w14:paraId="4967DB66" w14:textId="77777777" w:rsidR="00D5582C" w:rsidRDefault="00D5582C" w:rsidP="00D5582C">
      <w:pPr>
        <w:widowControl w:val="0"/>
        <w:autoSpaceDE w:val="0"/>
        <w:autoSpaceDN w:val="0"/>
        <w:adjustRightInd w:val="0"/>
        <w:rPr>
          <w:rFonts w:cs="Times New Roman"/>
        </w:rPr>
      </w:pPr>
    </w:p>
    <w:p w14:paraId="06E469E4" w14:textId="7180B1A4" w:rsidR="000C2A12" w:rsidRDefault="00D5582C" w:rsidP="00D5582C">
      <w:pPr>
        <w:widowControl w:val="0"/>
        <w:autoSpaceDE w:val="0"/>
        <w:autoSpaceDN w:val="0"/>
        <w:adjustRightInd w:val="0"/>
        <w:rPr>
          <w:rFonts w:cs="Times New Roman"/>
        </w:rPr>
      </w:pPr>
      <w:r w:rsidRPr="00D5582C">
        <w:rPr>
          <w:rFonts w:cs="Times New Roman"/>
          <w:b/>
        </w:rPr>
        <w:t>H</w:t>
      </w:r>
      <w:r>
        <w:rPr>
          <w:rFonts w:cs="Times New Roman"/>
        </w:rPr>
        <w:t xml:space="preserve">   </w:t>
      </w:r>
      <w:r w:rsidR="00A734F7">
        <w:rPr>
          <w:rFonts w:cs="Times New Roman"/>
        </w:rPr>
        <w:t>3.50-4</w:t>
      </w:r>
      <w:r>
        <w:rPr>
          <w:rFonts w:cs="Times New Roman"/>
        </w:rPr>
        <w:t xml:space="preserve">.00 </w:t>
      </w:r>
    </w:p>
    <w:p w14:paraId="039D4000" w14:textId="712BDAC9" w:rsidR="00A734F7" w:rsidRDefault="00D5582C" w:rsidP="00D5582C">
      <w:pPr>
        <w:widowControl w:val="0"/>
        <w:autoSpaceDE w:val="0"/>
        <w:autoSpaceDN w:val="0"/>
        <w:adjustRightInd w:val="0"/>
        <w:rPr>
          <w:rFonts w:cs="Times New Roman"/>
        </w:rPr>
      </w:pPr>
      <w:r w:rsidRPr="00D5582C">
        <w:rPr>
          <w:rFonts w:cs="Times New Roman"/>
          <w:b/>
        </w:rPr>
        <w:t>P</w:t>
      </w:r>
      <w:r>
        <w:rPr>
          <w:rFonts w:cs="Times New Roman"/>
        </w:rPr>
        <w:t xml:space="preserve">   </w:t>
      </w:r>
      <w:r w:rsidR="00A734F7">
        <w:rPr>
          <w:rFonts w:cs="Times New Roman"/>
        </w:rPr>
        <w:t xml:space="preserve">2.50-3.49 </w:t>
      </w:r>
    </w:p>
    <w:p w14:paraId="42ACE40A" w14:textId="3A7534C0" w:rsidR="00A734F7" w:rsidRDefault="00D5582C" w:rsidP="00D5582C">
      <w:pPr>
        <w:widowControl w:val="0"/>
        <w:autoSpaceDE w:val="0"/>
        <w:autoSpaceDN w:val="0"/>
        <w:adjustRightInd w:val="0"/>
        <w:rPr>
          <w:rFonts w:cs="Times New Roman"/>
        </w:rPr>
      </w:pPr>
      <w:r w:rsidRPr="00D5582C">
        <w:rPr>
          <w:rFonts w:cs="Times New Roman"/>
          <w:b/>
        </w:rPr>
        <w:t>L</w:t>
      </w:r>
      <w:r>
        <w:rPr>
          <w:rFonts w:cs="Times New Roman"/>
        </w:rPr>
        <w:t xml:space="preserve">   </w:t>
      </w:r>
      <w:r w:rsidR="00A734F7">
        <w:rPr>
          <w:rFonts w:cs="Times New Roman"/>
        </w:rPr>
        <w:t xml:space="preserve">1.50-2.49 </w:t>
      </w:r>
    </w:p>
    <w:p w14:paraId="2CBD9430" w14:textId="3D757A99" w:rsidR="00A734F7" w:rsidRDefault="00D5582C" w:rsidP="00D5582C">
      <w:pPr>
        <w:widowControl w:val="0"/>
        <w:autoSpaceDE w:val="0"/>
        <w:autoSpaceDN w:val="0"/>
        <w:adjustRightInd w:val="0"/>
        <w:rPr>
          <w:rFonts w:cs="Times New Roman"/>
        </w:rPr>
      </w:pPr>
      <w:r w:rsidRPr="00D5582C">
        <w:rPr>
          <w:rFonts w:cs="Times New Roman"/>
          <w:b/>
        </w:rPr>
        <w:t>F</w:t>
      </w:r>
      <w:r>
        <w:rPr>
          <w:rFonts w:cs="Times New Roman"/>
        </w:rPr>
        <w:t xml:space="preserve">   </w:t>
      </w:r>
      <w:r w:rsidR="00A734F7">
        <w:rPr>
          <w:rFonts w:cs="Times New Roman"/>
        </w:rPr>
        <w:t>1.0</w:t>
      </w:r>
      <w:r>
        <w:rPr>
          <w:rFonts w:cs="Times New Roman"/>
        </w:rPr>
        <w:t>0</w:t>
      </w:r>
      <w:r w:rsidR="00A734F7">
        <w:rPr>
          <w:rFonts w:cs="Times New Roman"/>
        </w:rPr>
        <w:t xml:space="preserve">-1.49 </w:t>
      </w:r>
    </w:p>
    <w:p w14:paraId="05DEA4E0" w14:textId="77777777" w:rsidR="00D5582C" w:rsidRDefault="00D5582C" w:rsidP="00D5582C">
      <w:pPr>
        <w:widowControl w:val="0"/>
        <w:autoSpaceDE w:val="0"/>
        <w:autoSpaceDN w:val="0"/>
        <w:adjustRightInd w:val="0"/>
        <w:rPr>
          <w:rFonts w:cs="Times New Roman"/>
        </w:rPr>
      </w:pPr>
    </w:p>
    <w:p w14:paraId="04D6AFB6" w14:textId="77777777" w:rsidR="000C7520" w:rsidRPr="007059C9" w:rsidRDefault="000C7520" w:rsidP="00D5582C">
      <w:pPr>
        <w:keepNext/>
        <w:outlineLvl w:val="3"/>
        <w:rPr>
          <w:rFonts w:eastAsia="Times New Roman" w:cs="Times New Roman"/>
          <w:i/>
          <w:iCs/>
          <w:color w:val="000000"/>
        </w:rPr>
      </w:pPr>
      <w:r w:rsidRPr="007059C9">
        <w:rPr>
          <w:rFonts w:eastAsia="Times New Roman" w:cs="Times New Roman"/>
          <w:b/>
          <w:bCs/>
          <w:color w:val="000000"/>
        </w:rPr>
        <w:t>Grade Appeal Policy</w:t>
      </w:r>
    </w:p>
    <w:p w14:paraId="3B1F8A45" w14:textId="022EEFD7" w:rsidR="000C7520" w:rsidRPr="007059C9" w:rsidRDefault="000C7520" w:rsidP="00D5582C">
      <w:pPr>
        <w:rPr>
          <w:rFonts w:eastAsia="Times New Roman" w:cs="Times New Roman"/>
          <w:color w:val="000000"/>
        </w:rPr>
      </w:pPr>
      <w:r w:rsidRPr="007059C9">
        <w:rPr>
          <w:rFonts w:eastAsia="Times New Roman" w:cs="Times New Roman"/>
          <w:color w:val="000000"/>
        </w:rPr>
        <w:t xml:space="preserve">I take the evaluation and grading of your work very seriously because I know that most of you take the preparation and writing of your work very seriously. If you think you deserve a higher grade on </w:t>
      </w:r>
      <w:r w:rsidR="00D5582C">
        <w:rPr>
          <w:rFonts w:eastAsia="Times New Roman" w:cs="Times New Roman"/>
          <w:color w:val="000000"/>
        </w:rPr>
        <w:t>your work,</w:t>
      </w:r>
      <w:r w:rsidRPr="007059C9">
        <w:rPr>
          <w:rFonts w:eastAsia="Times New Roman" w:cs="Times New Roman"/>
          <w:color w:val="000000"/>
        </w:rPr>
        <w:t xml:space="preserve"> you may write a letter and explain why you would like to appeal the grade.  Before making an appeal, you should review the grading criteria and grading comments and re-read your </w:t>
      </w:r>
      <w:r w:rsidR="00D5582C">
        <w:rPr>
          <w:rFonts w:eastAsia="Times New Roman" w:cs="Times New Roman"/>
          <w:color w:val="000000"/>
        </w:rPr>
        <w:t>work</w:t>
      </w:r>
      <w:r w:rsidRPr="007059C9">
        <w:rPr>
          <w:rFonts w:eastAsia="Times New Roman" w:cs="Times New Roman"/>
          <w:color w:val="000000"/>
        </w:rPr>
        <w:t xml:space="preserve"> with these in mind.  After I receive your letter</w:t>
      </w:r>
      <w:r w:rsidR="007E4E9E">
        <w:rPr>
          <w:rFonts w:eastAsia="Times New Roman" w:cs="Times New Roman"/>
          <w:color w:val="000000"/>
        </w:rPr>
        <w:t>, I will re-read your work</w:t>
      </w:r>
      <w:r w:rsidRPr="007059C9">
        <w:rPr>
          <w:rFonts w:eastAsia="Times New Roman" w:cs="Times New Roman"/>
          <w:color w:val="000000"/>
        </w:rPr>
        <w:t>.  Depending on my re-reading, your grade may stay the same, be raised, or be lowered. This system is designed to minimize frivolous grade appeals and to ensure that you have carefully examined and reflected on the quality of your work before deciding to initiate a grade appeal.</w:t>
      </w:r>
    </w:p>
    <w:p w14:paraId="1470B401" w14:textId="77777777" w:rsidR="000C7520" w:rsidRPr="007059C9" w:rsidRDefault="000C7520" w:rsidP="00D5582C">
      <w:pPr>
        <w:widowControl w:val="0"/>
        <w:autoSpaceDE w:val="0"/>
        <w:autoSpaceDN w:val="0"/>
        <w:adjustRightInd w:val="0"/>
        <w:rPr>
          <w:rFonts w:cs="Times New Roman"/>
        </w:rPr>
      </w:pPr>
    </w:p>
    <w:p w14:paraId="13CA1CC0" w14:textId="77777777" w:rsidR="000C7520" w:rsidRPr="007059C9" w:rsidRDefault="000C7520" w:rsidP="00D5582C">
      <w:pPr>
        <w:rPr>
          <w:rFonts w:eastAsia="Times New Roman" w:cs="Times New Roman"/>
          <w:color w:val="000000"/>
        </w:rPr>
      </w:pPr>
      <w:r w:rsidRPr="007059C9">
        <w:rPr>
          <w:rFonts w:eastAsia="Times New Roman" w:cs="Times New Roman"/>
          <w:b/>
          <w:bCs/>
          <w:color w:val="000000"/>
        </w:rPr>
        <w:t>Late Assignments and Extensions</w:t>
      </w:r>
    </w:p>
    <w:p w14:paraId="13BE8EA1" w14:textId="3003775B" w:rsidR="000C7520" w:rsidRPr="007059C9" w:rsidRDefault="000C7520" w:rsidP="00D5582C">
      <w:pPr>
        <w:rPr>
          <w:rFonts w:eastAsia="Times New Roman" w:cs="Times New Roman"/>
          <w:color w:val="000000"/>
        </w:rPr>
      </w:pPr>
      <w:r w:rsidRPr="007059C9">
        <w:rPr>
          <w:rFonts w:eastAsia="Times New Roman" w:cs="Times New Roman"/>
          <w:color w:val="000000"/>
        </w:rPr>
        <w:t xml:space="preserve">Points will be subtracted from late assignments at a rate of ten percent of total point value per day. All assignments </w:t>
      </w:r>
      <w:r w:rsidR="007E4E9E">
        <w:rPr>
          <w:rFonts w:eastAsia="Times New Roman" w:cs="Times New Roman"/>
          <w:color w:val="000000"/>
        </w:rPr>
        <w:t>must be</w:t>
      </w:r>
      <w:r w:rsidR="00B53490">
        <w:rPr>
          <w:rFonts w:eastAsia="Times New Roman" w:cs="Times New Roman"/>
          <w:color w:val="000000"/>
        </w:rPr>
        <w:t xml:space="preserve"> submitted to S</w:t>
      </w:r>
      <w:r w:rsidRPr="007059C9">
        <w:rPr>
          <w:rFonts w:eastAsia="Times New Roman" w:cs="Times New Roman"/>
          <w:color w:val="000000"/>
        </w:rPr>
        <w:t>akai for a “date and time stamp</w:t>
      </w:r>
      <w:r w:rsidR="007E4E9E">
        <w:rPr>
          <w:rFonts w:eastAsia="Times New Roman" w:cs="Times New Roman"/>
          <w:color w:val="000000"/>
        </w:rPr>
        <w:t xml:space="preserve">.” </w:t>
      </w:r>
      <w:r w:rsidRPr="007059C9">
        <w:rPr>
          <w:rFonts w:eastAsia="Times New Roman" w:cs="Times New Roman"/>
          <w:color w:val="000000"/>
        </w:rPr>
        <w:t>The late assignment policy will apply to the date and time on which</w:t>
      </w:r>
      <w:r w:rsidR="00B53490">
        <w:rPr>
          <w:rFonts w:eastAsia="Times New Roman" w:cs="Times New Roman"/>
          <w:color w:val="000000"/>
        </w:rPr>
        <w:t xml:space="preserve"> an assignment was received by S</w:t>
      </w:r>
      <w:r w:rsidRPr="007059C9">
        <w:rPr>
          <w:rFonts w:eastAsia="Times New Roman" w:cs="Times New Roman"/>
          <w:color w:val="000000"/>
        </w:rPr>
        <w:t xml:space="preserve">akai. If technical problems prevent you from submitting your </w:t>
      </w:r>
      <w:r w:rsidRPr="007059C9">
        <w:rPr>
          <w:rFonts w:eastAsia="Times New Roman" w:cs="Times New Roman"/>
          <w:color w:val="000000"/>
          <w:u w:val="single"/>
        </w:rPr>
        <w:t>first</w:t>
      </w:r>
      <w:r w:rsidR="00B53490">
        <w:rPr>
          <w:rFonts w:eastAsia="Times New Roman" w:cs="Times New Roman"/>
          <w:color w:val="000000"/>
        </w:rPr>
        <w:t xml:space="preserve"> assignment to S</w:t>
      </w:r>
      <w:r w:rsidRPr="007059C9">
        <w:rPr>
          <w:rFonts w:eastAsia="Times New Roman" w:cs="Times New Roman"/>
          <w:color w:val="000000"/>
        </w:rPr>
        <w:t xml:space="preserve">akai, you will receive an automatic grace period of 24 hours provided you also submit documentation that your technical problem was genuine (e.g., a tech support “help ticket.”). No such grace periods will apply to assignments subsequent to the first. You are expected to verify that your assignments have been properly submitted. </w:t>
      </w:r>
    </w:p>
    <w:p w14:paraId="1072744F" w14:textId="77777777" w:rsidR="000C7520" w:rsidRPr="007059C9" w:rsidRDefault="000C7520" w:rsidP="00D5582C">
      <w:pPr>
        <w:rPr>
          <w:rFonts w:eastAsia="Times New Roman" w:cs="Times New Roman"/>
          <w:color w:val="000000"/>
        </w:rPr>
      </w:pPr>
    </w:p>
    <w:p w14:paraId="11E4A88F" w14:textId="1888ED8A" w:rsidR="000C7520" w:rsidRPr="007059C9" w:rsidRDefault="000C7520" w:rsidP="00C25C1B">
      <w:pPr>
        <w:rPr>
          <w:color w:val="000000"/>
        </w:rPr>
      </w:pPr>
      <w:r w:rsidRPr="007059C9">
        <w:rPr>
          <w:color w:val="000000"/>
        </w:rPr>
        <w:t>If personal or extenuating circumstances prevent you from turning in an assignment on time, please contact me as soon as possible </w:t>
      </w:r>
      <w:r w:rsidRPr="007059C9">
        <w:rPr>
          <w:i/>
          <w:iCs/>
          <w:color w:val="000000"/>
        </w:rPr>
        <w:t>in advance</w:t>
      </w:r>
      <w:r w:rsidRPr="007059C9">
        <w:rPr>
          <w:color w:val="000000"/>
        </w:rPr>
        <w:t> of the deadline. Extensions will be handled on a case-by-case basis, but job interviews, work commitments, extracurricular activities, weddings, travel plans, and academic workload issues will not be considere</w:t>
      </w:r>
      <w:r w:rsidR="007E4E9E">
        <w:rPr>
          <w:color w:val="000000"/>
        </w:rPr>
        <w:t xml:space="preserve">d valid reasons for extensions. </w:t>
      </w:r>
      <w:r w:rsidRPr="007059C9">
        <w:rPr>
          <w:color w:val="000000"/>
        </w:rPr>
        <w:t>Serious medical emergencies and other unexpected events, with documented proof, may be grounds for an extension.</w:t>
      </w:r>
    </w:p>
    <w:p w14:paraId="0C232FB9" w14:textId="77777777" w:rsidR="000C7520" w:rsidRPr="007059C9" w:rsidRDefault="000C7520" w:rsidP="00C25C1B">
      <w:pPr>
        <w:rPr>
          <w:rFonts w:eastAsia="Times New Roman" w:cs="Times New Roman"/>
          <w:color w:val="000000"/>
        </w:rPr>
      </w:pPr>
    </w:p>
    <w:p w14:paraId="3CEA8168" w14:textId="77777777" w:rsidR="000C7520" w:rsidRPr="007059C9" w:rsidRDefault="000C7520" w:rsidP="00C25C1B">
      <w:pPr>
        <w:autoSpaceDE w:val="0"/>
        <w:autoSpaceDN w:val="0"/>
        <w:adjustRightInd w:val="0"/>
        <w:rPr>
          <w:rFonts w:ascii="TimesNewRomanPSMT" w:eastAsia="Times New Roman" w:hAnsi="TimesNewRomanPSMT" w:cs="TimesNewRomanPSMT"/>
          <w:b/>
          <w:color w:val="000000"/>
        </w:rPr>
      </w:pPr>
      <w:r w:rsidRPr="007059C9">
        <w:rPr>
          <w:rFonts w:ascii="TimesNewRomanPSMT" w:eastAsia="Times New Roman" w:hAnsi="TimesNewRomanPSMT" w:cs="TimesNewRomanPSMT"/>
          <w:b/>
          <w:color w:val="000000"/>
        </w:rPr>
        <w:t>Norms of academic behavior</w:t>
      </w:r>
    </w:p>
    <w:p w14:paraId="0B734B46" w14:textId="60A0F96B" w:rsidR="000C7520" w:rsidRPr="007059C9" w:rsidRDefault="000C7520" w:rsidP="00C25C1B">
      <w:pPr>
        <w:autoSpaceDE w:val="0"/>
        <w:autoSpaceDN w:val="0"/>
        <w:adjustRightInd w:val="0"/>
        <w:rPr>
          <w:rFonts w:ascii="TimesNewRomanPSMT" w:eastAsia="Times New Roman" w:hAnsi="TimesNewRomanPSMT" w:cs="TimesNewRomanPSMT"/>
          <w:color w:val="000000"/>
        </w:rPr>
      </w:pPr>
      <w:r w:rsidRPr="007059C9">
        <w:rPr>
          <w:rFonts w:ascii="TimesNewRomanPSMT" w:eastAsia="Times New Roman" w:hAnsi="TimesNewRomanPSMT" w:cs="TimesNewRomanPSMT"/>
          <w:color w:val="000000"/>
        </w:rPr>
        <w:t xml:space="preserve">The purpose of </w:t>
      </w:r>
      <w:r w:rsidRPr="007059C9">
        <w:rPr>
          <w:rFonts w:ascii="TimesNewRomanPSMT" w:hAnsi="TimesNewRomanPSMT" w:cs="TimesNewRomanPSMT"/>
          <w:color w:val="000000"/>
        </w:rPr>
        <w:t xml:space="preserve">class time </w:t>
      </w:r>
      <w:r w:rsidRPr="007059C9">
        <w:rPr>
          <w:rFonts w:ascii="TimesNewRomanPSMT" w:eastAsia="Times New Roman" w:hAnsi="TimesNewRomanPSMT" w:cs="TimesNewRomanPSMT"/>
          <w:color w:val="000000"/>
        </w:rPr>
        <w:t xml:space="preserve">is to enhance your understanding of material covered in the course reading. To state the obvious, to get the most out of these experiences you must come to class prepared and on time, get enough sleep the night before, and avoid any distractions that might hinder your learning. Failing to read outside of class, coming to class late, falling asleep and/or text messaging during class wastes your time, my time, and insults your fellow students. </w:t>
      </w:r>
      <w:r w:rsidRPr="007059C9">
        <w:rPr>
          <w:rFonts w:ascii="TimesNewRomanPSMT" w:eastAsia="Times New Roman" w:hAnsi="TimesNewRomanPSMT" w:cs="TimesNewRomanPSMT"/>
          <w:b/>
          <w:color w:val="000000"/>
          <w:u w:val="single"/>
        </w:rPr>
        <w:t>During</w:t>
      </w:r>
      <w:r w:rsidRPr="007059C9">
        <w:rPr>
          <w:rFonts w:ascii="TimesNewRomanPSMT" w:hAnsi="TimesNewRomanPSMT" w:cs="TimesNewRomanPSMT"/>
          <w:b/>
          <w:color w:val="000000"/>
          <w:u w:val="single"/>
        </w:rPr>
        <w:t xml:space="preserve"> class time</w:t>
      </w:r>
      <w:r w:rsidRPr="007059C9">
        <w:rPr>
          <w:rFonts w:ascii="TimesNewRomanPSMT" w:eastAsia="Times New Roman" w:hAnsi="TimesNewRomanPSMT" w:cs="TimesNewRomanPSMT"/>
          <w:b/>
          <w:color w:val="000000"/>
          <w:u w:val="single"/>
        </w:rPr>
        <w:t xml:space="preserve">, </w:t>
      </w:r>
      <w:r w:rsidR="007E4E9E">
        <w:rPr>
          <w:rFonts w:ascii="TimesNewRomanPSMT" w:eastAsia="Times New Roman" w:hAnsi="TimesNewRomanPSMT" w:cs="TimesNewRomanPSMT"/>
          <w:b/>
          <w:color w:val="000000"/>
          <w:u w:val="single"/>
        </w:rPr>
        <w:t>therefore</w:t>
      </w:r>
      <w:r w:rsidRPr="007059C9">
        <w:rPr>
          <w:rFonts w:ascii="TimesNewRomanPSMT" w:eastAsia="Times New Roman" w:hAnsi="TimesNewRomanPSMT" w:cs="TimesNewRomanPSMT"/>
          <w:b/>
          <w:color w:val="000000"/>
          <w:u w:val="single"/>
        </w:rPr>
        <w:t>, please refrain</w:t>
      </w:r>
      <w:r w:rsidR="002610EC">
        <w:rPr>
          <w:rFonts w:ascii="TimesNewRomanPSMT" w:eastAsia="Times New Roman" w:hAnsi="TimesNewRomanPSMT" w:cs="TimesNewRomanPSMT"/>
          <w:b/>
          <w:color w:val="000000"/>
          <w:u w:val="single"/>
        </w:rPr>
        <w:t xml:space="preserve"> from using electronic devices such as phones</w:t>
      </w:r>
      <w:r w:rsidRPr="007059C9">
        <w:rPr>
          <w:rFonts w:ascii="TimesNewRomanPSMT" w:eastAsia="Times New Roman" w:hAnsi="TimesNewRomanPSMT" w:cs="TimesNewRomanPSMT"/>
          <w:b/>
          <w:color w:val="000000"/>
          <w:u w:val="single"/>
        </w:rPr>
        <w:t>.</w:t>
      </w:r>
      <w:r w:rsidR="002610EC">
        <w:rPr>
          <w:rFonts w:ascii="TimesNewRomanPSMT" w:eastAsia="Times New Roman" w:hAnsi="TimesNewRomanPSMT" w:cs="TimesNewRomanPSMT"/>
          <w:color w:val="000000"/>
        </w:rPr>
        <w:t xml:space="preserve"> You may use your laptop to take notes on a laptop, but note that I will provide lecture slides in advance of every lecture and many lectures will include equations and graphs that will be difficult for you to reproduce “on the fly” while typing on a laptop. </w:t>
      </w:r>
      <w:r w:rsidRPr="007059C9">
        <w:rPr>
          <w:rFonts w:ascii="TimesNewRomanPSMT" w:eastAsia="Times New Roman" w:hAnsi="TimesNewRomanPSMT" w:cs="TimesNewRomanPSMT"/>
          <w:color w:val="000000"/>
        </w:rPr>
        <w:t xml:space="preserve"> </w:t>
      </w:r>
    </w:p>
    <w:p w14:paraId="226A0E69" w14:textId="77777777" w:rsidR="00C25C1B" w:rsidRDefault="00C25C1B" w:rsidP="00C25C1B">
      <w:pPr>
        <w:widowControl w:val="0"/>
        <w:autoSpaceDE w:val="0"/>
        <w:autoSpaceDN w:val="0"/>
        <w:adjustRightInd w:val="0"/>
        <w:rPr>
          <w:rFonts w:ascii="TimesNewRomanPS-BoldMT" w:hAnsi="TimesNewRomanPS-BoldMT" w:cs="TimesNewRomanPS-BoldMT"/>
          <w:b/>
          <w:bCs/>
          <w:color w:val="000000"/>
        </w:rPr>
      </w:pPr>
    </w:p>
    <w:p w14:paraId="779AA6AE" w14:textId="77777777" w:rsidR="000C7520" w:rsidRPr="007059C9" w:rsidRDefault="000C7520" w:rsidP="00C25C1B">
      <w:pPr>
        <w:widowControl w:val="0"/>
        <w:autoSpaceDE w:val="0"/>
        <w:autoSpaceDN w:val="0"/>
        <w:adjustRightInd w:val="0"/>
        <w:rPr>
          <w:rFonts w:ascii="TimesNewRomanPS-BoldMT" w:hAnsi="TimesNewRomanPS-BoldMT" w:cs="TimesNewRomanPS-BoldMT"/>
          <w:b/>
          <w:bCs/>
          <w:color w:val="000000"/>
        </w:rPr>
      </w:pPr>
      <w:r w:rsidRPr="007059C9">
        <w:rPr>
          <w:rFonts w:ascii="TimesNewRomanPS-BoldMT" w:hAnsi="TimesNewRomanPS-BoldMT" w:cs="TimesNewRomanPS-BoldMT"/>
          <w:b/>
          <w:bCs/>
          <w:color w:val="000000"/>
        </w:rPr>
        <w:t xml:space="preserve">Honor Code </w:t>
      </w:r>
    </w:p>
    <w:p w14:paraId="02F94F0F" w14:textId="1226E126" w:rsidR="000C7520" w:rsidRPr="007059C9" w:rsidRDefault="000C7520" w:rsidP="00C25C1B">
      <w:pPr>
        <w:widowControl w:val="0"/>
        <w:autoSpaceDE w:val="0"/>
        <w:autoSpaceDN w:val="0"/>
        <w:adjustRightInd w:val="0"/>
        <w:rPr>
          <w:rFonts w:ascii="TimesNewRomanPS-BoldMT" w:hAnsi="TimesNewRomanPS-BoldMT" w:cs="TimesNewRomanPS-BoldMT"/>
          <w:color w:val="000000"/>
        </w:rPr>
      </w:pPr>
      <w:r w:rsidRPr="007059C9">
        <w:rPr>
          <w:rFonts w:ascii="TimesNewRomanPSMT" w:hAnsi="TimesNewRomanPSMT" w:cs="TimesNewRomanPSMT"/>
          <w:color w:val="000000"/>
        </w:rPr>
        <w:t xml:space="preserve">The honor code is on effect in this class and all others at the University. </w:t>
      </w:r>
      <w:r w:rsidR="007E4E9E">
        <w:rPr>
          <w:rFonts w:ascii="TimesNewRomanPSMT" w:hAnsi="TimesNewRomanPSMT" w:cs="TimesNewRomanPSMT"/>
          <w:color w:val="000000"/>
        </w:rPr>
        <w:t>I</w:t>
      </w:r>
      <w:r w:rsidRPr="007059C9">
        <w:rPr>
          <w:rFonts w:ascii="TimesNewRomanPSMT" w:hAnsi="TimesNewRomanPSMT" w:cs="TimesNewRomanPSMT"/>
          <w:color w:val="000000"/>
        </w:rPr>
        <w:t xml:space="preserve"> treat Honor Code violations seriously and urge all students to become familiar with its terms set out at </w:t>
      </w:r>
      <w:r w:rsidRPr="007059C9">
        <w:rPr>
          <w:rFonts w:ascii="TimesNewRomanPSMT" w:hAnsi="TimesNewRomanPSMT" w:cs="TimesNewRomanPSMT"/>
          <w:color w:val="0000FF"/>
        </w:rPr>
        <w:t>http://instrument.unc.edu</w:t>
      </w:r>
      <w:r w:rsidRPr="007059C9">
        <w:rPr>
          <w:rFonts w:ascii="TimesNewRomanPSMT" w:hAnsi="TimesNewRomanPSMT" w:cs="TimesNewRomanPSMT"/>
          <w:color w:val="000000"/>
        </w:rPr>
        <w:t>. If you have questions, it is your responsibility to ask us about the Code’s application. It is assumed that all exams, written work and assignments submitted by you are in compliance with the requirements of the Honor Code.</w:t>
      </w:r>
      <w:r w:rsidRPr="007059C9">
        <w:rPr>
          <w:rFonts w:ascii="TimesNewRomanPS-BoldMT" w:hAnsi="TimesNewRomanPS-BoldMT" w:cs="TimesNewRomanPS-BoldMT"/>
          <w:color w:val="000000"/>
        </w:rPr>
        <w:t xml:space="preserve"> </w:t>
      </w:r>
    </w:p>
    <w:p w14:paraId="315AB104" w14:textId="77777777" w:rsidR="000C7520" w:rsidRPr="007059C9" w:rsidRDefault="000C7520" w:rsidP="00D5582C">
      <w:pPr>
        <w:keepNext/>
        <w:keepLines/>
        <w:widowControl w:val="0"/>
        <w:autoSpaceDE w:val="0"/>
        <w:autoSpaceDN w:val="0"/>
        <w:adjustRightInd w:val="0"/>
        <w:rPr>
          <w:rFonts w:ascii="TimesNewRomanPS-BoldMT" w:hAnsi="TimesNewRomanPS-BoldMT" w:cs="TimesNewRomanPS-BoldMT"/>
          <w:color w:val="000000"/>
        </w:rPr>
      </w:pPr>
    </w:p>
    <w:p w14:paraId="7F45B3A1" w14:textId="77777777" w:rsidR="000C7520" w:rsidRPr="007059C9" w:rsidRDefault="000C7520" w:rsidP="00D5582C">
      <w:pPr>
        <w:outlineLvl w:val="0"/>
        <w:rPr>
          <w:b/>
        </w:rPr>
      </w:pPr>
      <w:r w:rsidRPr="007059C9">
        <w:rPr>
          <w:b/>
        </w:rPr>
        <w:t>Academic Integrity/Plagiarism</w:t>
      </w:r>
    </w:p>
    <w:p w14:paraId="30091BC7" w14:textId="77777777" w:rsidR="000C7520" w:rsidRPr="007059C9" w:rsidRDefault="000C7520" w:rsidP="00D5582C">
      <w:r w:rsidRPr="007059C9">
        <w:t>In order to ensure effective functioning of the Honor System at Carolina, all students are expected to:</w:t>
      </w:r>
    </w:p>
    <w:p w14:paraId="687B7789" w14:textId="7898299F" w:rsidR="000C7520" w:rsidRPr="007059C9" w:rsidRDefault="000C7520" w:rsidP="007E4E9E">
      <w:pPr>
        <w:pStyle w:val="ListParagraph"/>
        <w:numPr>
          <w:ilvl w:val="0"/>
          <w:numId w:val="12"/>
        </w:numPr>
      </w:pPr>
      <w:r w:rsidRPr="007059C9">
        <w:t>Conduct all academic work within the letter and spirit of the Honor Code, which prohibits the giving or receiving of unauthorized aid in all academic processes. If unsure about the limits of group work versus individual work on papers and projects, ask the instructor. Do not guess.</w:t>
      </w:r>
    </w:p>
    <w:p w14:paraId="63A59F3B" w14:textId="707CDAE0" w:rsidR="000C7520" w:rsidRPr="007059C9" w:rsidRDefault="000C7520" w:rsidP="007E4E9E">
      <w:pPr>
        <w:pStyle w:val="ListParagraph"/>
        <w:numPr>
          <w:ilvl w:val="0"/>
          <w:numId w:val="12"/>
        </w:numPr>
      </w:pPr>
      <w:r w:rsidRPr="007059C9">
        <w:t>Consult with faculty and other sources to clarify the meaning of plagiarism; to learn the recognized techniques of proper attribution of sources used in written work; and to identify allowable resource materials or aids to be used during completion of any graded work.</w:t>
      </w:r>
    </w:p>
    <w:p w14:paraId="63DA79D1" w14:textId="7B1F3E6F" w:rsidR="000C7520" w:rsidRPr="007059C9" w:rsidRDefault="000C7520" w:rsidP="007E4E9E">
      <w:pPr>
        <w:pStyle w:val="ListParagraph"/>
        <w:numPr>
          <w:ilvl w:val="0"/>
          <w:numId w:val="12"/>
        </w:numPr>
      </w:pPr>
      <w:r w:rsidRPr="007059C9">
        <w:t>Sign a pledge on all graded academic work certifying that no unauthorized assistance has been received or given in the completion of the work.</w:t>
      </w:r>
    </w:p>
    <w:p w14:paraId="4F802988" w14:textId="687D47B6" w:rsidR="000C7520" w:rsidRPr="007059C9" w:rsidRDefault="000C7520" w:rsidP="007E4E9E">
      <w:pPr>
        <w:pStyle w:val="ListParagraph"/>
        <w:numPr>
          <w:ilvl w:val="0"/>
          <w:numId w:val="12"/>
        </w:numPr>
      </w:pPr>
      <w:r w:rsidRPr="007059C9">
        <w:t>Treat all members of the University community with respect and fairness.</w:t>
      </w:r>
    </w:p>
    <w:p w14:paraId="02C621BF" w14:textId="555EACDA" w:rsidR="000C7520" w:rsidRPr="007059C9" w:rsidRDefault="000C7520" w:rsidP="007E4E9E">
      <w:pPr>
        <w:pStyle w:val="ListParagraph"/>
        <w:numPr>
          <w:ilvl w:val="0"/>
          <w:numId w:val="12"/>
        </w:numPr>
      </w:pPr>
      <w:r w:rsidRPr="007059C9">
        <w:t xml:space="preserve">Report any instance in which reasonable grounds exist to believe that a student has given or received unauthorized aid in graded work or in other respects violated the Honor Code. Reports should be made to the office of the Student Attorney General. </w:t>
      </w:r>
    </w:p>
    <w:p w14:paraId="06095FFA" w14:textId="77777777" w:rsidR="000C7520" w:rsidRPr="007059C9" w:rsidRDefault="000C7520" w:rsidP="00D5582C">
      <w:pPr>
        <w:keepNext/>
        <w:keepLines/>
        <w:widowControl w:val="0"/>
        <w:autoSpaceDE w:val="0"/>
        <w:autoSpaceDN w:val="0"/>
        <w:adjustRightInd w:val="0"/>
        <w:rPr>
          <w:rFonts w:ascii="TimesNewRomanPS-BoldMT" w:hAnsi="TimesNewRomanPS-BoldMT" w:cs="TimesNewRomanPS-BoldMT"/>
          <w:color w:val="000000"/>
        </w:rPr>
      </w:pPr>
    </w:p>
    <w:p w14:paraId="30B3A728" w14:textId="77777777" w:rsidR="000C7520" w:rsidRPr="007059C9" w:rsidRDefault="000C7520" w:rsidP="00D5582C">
      <w:pPr>
        <w:keepNext/>
        <w:keepLines/>
        <w:widowControl w:val="0"/>
        <w:autoSpaceDE w:val="0"/>
        <w:autoSpaceDN w:val="0"/>
        <w:adjustRightInd w:val="0"/>
      </w:pPr>
      <w:r w:rsidRPr="007059C9">
        <w:t>At UNC, plagiarism is defined as "the deliberate or reckless representation of another's words, thoughts, or ideas as one's own without attribution in connection with submission of academic work, whether graded or otherwise." (</w:t>
      </w:r>
      <w:hyperlink r:id="rId9" w:history="1">
        <w:r w:rsidRPr="007059C9">
          <w:rPr>
            <w:rStyle w:val="Hyperlink"/>
            <w:i/>
            <w:iCs/>
          </w:rPr>
          <w:t>Instrument of Student Judicial Governance</w:t>
        </w:r>
      </w:hyperlink>
      <w:r w:rsidRPr="007059C9">
        <w:rPr>
          <w:i/>
          <w:iCs/>
        </w:rPr>
        <w:t xml:space="preserve">, </w:t>
      </w:r>
      <w:r w:rsidRPr="007059C9">
        <w:t xml:space="preserve">Section II.B.1.). Because it is considered a form of cheating, the Office of the Dean of Students can punish students who plagiarize with course failure and suspension. Full information can be found on the </w:t>
      </w:r>
      <w:hyperlink r:id="rId10" w:history="1">
        <w:r w:rsidRPr="007059C9">
          <w:rPr>
            <w:rStyle w:val="Hyperlink"/>
          </w:rPr>
          <w:t>UNC Honor System</w:t>
        </w:r>
      </w:hyperlink>
      <w:r w:rsidRPr="007059C9">
        <w:t xml:space="preserve"> page UNC Writing Center Handout: </w:t>
      </w:r>
      <w:hyperlink r:id="rId11" w:history="1">
        <w:r w:rsidRPr="007059C9">
          <w:rPr>
            <w:rStyle w:val="Hyperlink"/>
          </w:rPr>
          <w:t>http://writingcenter.unc.edu/resources/handouts-demos/citation/plagiarism</w:t>
        </w:r>
      </w:hyperlink>
      <w:r w:rsidRPr="007059C9">
        <w:t xml:space="preserve">) </w:t>
      </w:r>
    </w:p>
    <w:p w14:paraId="4577BB54" w14:textId="77777777" w:rsidR="00D5582C" w:rsidRDefault="00D5582C" w:rsidP="00D5582C">
      <w:pPr>
        <w:rPr>
          <w:b/>
        </w:rPr>
      </w:pPr>
    </w:p>
    <w:p w14:paraId="3DE6D0D2" w14:textId="77777777" w:rsidR="00B97E42" w:rsidRDefault="00B97E42">
      <w:pPr>
        <w:rPr>
          <w:b/>
        </w:rPr>
      </w:pPr>
      <w:r>
        <w:rPr>
          <w:b/>
        </w:rPr>
        <w:br w:type="page"/>
      </w:r>
    </w:p>
    <w:p w14:paraId="608602FC" w14:textId="59697628" w:rsidR="00E3705D" w:rsidRPr="007059C9" w:rsidRDefault="00E3705D" w:rsidP="00B97E42">
      <w:pPr>
        <w:jc w:val="center"/>
        <w:rPr>
          <w:b/>
        </w:rPr>
      </w:pPr>
      <w:r w:rsidRPr="007059C9">
        <w:rPr>
          <w:b/>
        </w:rPr>
        <w:t>Course Schedule</w:t>
      </w:r>
    </w:p>
    <w:p w14:paraId="102D6D6B" w14:textId="77777777" w:rsidR="00E3705D" w:rsidRDefault="00E3705D" w:rsidP="00CA6AEE"/>
    <w:p w14:paraId="1FD0F7CE" w14:textId="102B3DF6" w:rsidR="004F2448" w:rsidRDefault="0053232A" w:rsidP="00CA6AEE">
      <w:r>
        <w:t>In general, Tuesdays will be lectures and Thursdays will be discussions.</w:t>
      </w:r>
      <w:r w:rsidR="004F2448">
        <w:t xml:space="preserve"> Lectures will serve to introduce</w:t>
      </w:r>
      <w:r>
        <w:t>, clarify, and elaborate upon</w:t>
      </w:r>
      <w:r w:rsidR="004F2448">
        <w:t xml:space="preserve"> key </w:t>
      </w:r>
      <w:r>
        <w:t>points from the</w:t>
      </w:r>
      <w:r w:rsidR="004F2448" w:rsidRPr="005E49B2">
        <w:rPr>
          <w:i/>
        </w:rPr>
        <w:t xml:space="preserve"> </w:t>
      </w:r>
      <w:r w:rsidR="004F2448">
        <w:t xml:space="preserve">readings. </w:t>
      </w:r>
      <w:r>
        <w:t>Discussions</w:t>
      </w:r>
      <w:r w:rsidR="005E49B2">
        <w:t xml:space="preserve"> will </w:t>
      </w:r>
      <w:r>
        <w:t xml:space="preserve">provide an opportunity for students to deepen their understanding of key points through Q&amp;A, exercises, and constructive critique of empirical papers. </w:t>
      </w:r>
      <w:r w:rsidR="005E49B2">
        <w:t>On days with empirical papers to discuss, students wi</w:t>
      </w:r>
      <w:r w:rsidR="005F72D6">
        <w:t>ll lead the discussion portion</w:t>
      </w:r>
      <w:r w:rsidR="005E49B2">
        <w:t>.</w:t>
      </w:r>
      <w:r w:rsidR="005F72D6">
        <w:t xml:space="preserve"> </w:t>
      </w:r>
      <w:r w:rsidR="00B97E42">
        <w:t>Background</w:t>
      </w:r>
      <w:r>
        <w:t>/optional</w:t>
      </w:r>
      <w:r w:rsidR="00B97E42">
        <w:t xml:space="preserve"> readings are optional selections for those interested in further reading on the topic. </w:t>
      </w:r>
      <w:r>
        <w:t xml:space="preserve">Note that in some cases only portions of a reading selection are assigned. This is the case when page numbers are listed. </w:t>
      </w:r>
    </w:p>
    <w:p w14:paraId="2EBF5DA6" w14:textId="77777777" w:rsidR="004F2448" w:rsidRDefault="004F2448" w:rsidP="00CA6AEE"/>
    <w:tbl>
      <w:tblPr>
        <w:tblStyle w:val="TableGrid"/>
        <w:tblW w:w="8676" w:type="dxa"/>
        <w:tblLayout w:type="fixed"/>
        <w:tblLook w:val="04A0" w:firstRow="1" w:lastRow="0" w:firstColumn="1" w:lastColumn="0" w:noHBand="0" w:noVBand="1"/>
      </w:tblPr>
      <w:tblGrid>
        <w:gridCol w:w="1278"/>
        <w:gridCol w:w="990"/>
        <w:gridCol w:w="1710"/>
        <w:gridCol w:w="3150"/>
        <w:gridCol w:w="1548"/>
      </w:tblGrid>
      <w:tr w:rsidR="0053232A" w:rsidRPr="00347CFF" w14:paraId="2411FCF8" w14:textId="77777777" w:rsidTr="00E57F6C">
        <w:tc>
          <w:tcPr>
            <w:tcW w:w="1278" w:type="dxa"/>
          </w:tcPr>
          <w:p w14:paraId="53B74858" w14:textId="77777777" w:rsidR="0053232A" w:rsidRPr="00347CFF" w:rsidRDefault="0053232A" w:rsidP="00E57F6C">
            <w:pPr>
              <w:rPr>
                <w:b/>
              </w:rPr>
            </w:pPr>
            <w:r w:rsidRPr="00347CFF">
              <w:rPr>
                <w:b/>
              </w:rPr>
              <w:t>Date</w:t>
            </w:r>
          </w:p>
        </w:tc>
        <w:tc>
          <w:tcPr>
            <w:tcW w:w="990" w:type="dxa"/>
          </w:tcPr>
          <w:p w14:paraId="395F3721" w14:textId="77777777" w:rsidR="0053232A" w:rsidRPr="00347CFF" w:rsidRDefault="0053232A" w:rsidP="00E57F6C">
            <w:pPr>
              <w:rPr>
                <w:b/>
              </w:rPr>
            </w:pPr>
            <w:r w:rsidRPr="00347CFF">
              <w:rPr>
                <w:b/>
              </w:rPr>
              <w:t>Format</w:t>
            </w:r>
          </w:p>
        </w:tc>
        <w:tc>
          <w:tcPr>
            <w:tcW w:w="1710" w:type="dxa"/>
          </w:tcPr>
          <w:p w14:paraId="14D2BAB1" w14:textId="77777777" w:rsidR="0053232A" w:rsidRPr="00347CFF" w:rsidRDefault="0053232A" w:rsidP="00E57F6C">
            <w:pPr>
              <w:rPr>
                <w:b/>
              </w:rPr>
            </w:pPr>
            <w:r w:rsidRPr="00347CFF">
              <w:rPr>
                <w:b/>
              </w:rPr>
              <w:t>Topic</w:t>
            </w:r>
          </w:p>
        </w:tc>
        <w:tc>
          <w:tcPr>
            <w:tcW w:w="3150" w:type="dxa"/>
          </w:tcPr>
          <w:p w14:paraId="7350D9A3" w14:textId="77777777" w:rsidR="0053232A" w:rsidRPr="00347CFF" w:rsidRDefault="0053232A" w:rsidP="00E57F6C">
            <w:pPr>
              <w:rPr>
                <w:b/>
              </w:rPr>
            </w:pPr>
            <w:r w:rsidRPr="00347CFF">
              <w:rPr>
                <w:b/>
              </w:rPr>
              <w:t>Readings</w:t>
            </w:r>
          </w:p>
        </w:tc>
        <w:tc>
          <w:tcPr>
            <w:tcW w:w="1548" w:type="dxa"/>
          </w:tcPr>
          <w:p w14:paraId="7FBA2B09" w14:textId="77777777" w:rsidR="0053232A" w:rsidRPr="00347CFF" w:rsidRDefault="0053232A" w:rsidP="00E57F6C">
            <w:pPr>
              <w:rPr>
                <w:b/>
              </w:rPr>
            </w:pPr>
            <w:r w:rsidRPr="00347CFF">
              <w:rPr>
                <w:b/>
              </w:rPr>
              <w:t>Due</w:t>
            </w:r>
          </w:p>
        </w:tc>
      </w:tr>
      <w:tr w:rsidR="0053232A" w:rsidRPr="006406DD" w14:paraId="6F96E83C" w14:textId="77777777" w:rsidTr="00E57F6C">
        <w:tc>
          <w:tcPr>
            <w:tcW w:w="1278" w:type="dxa"/>
          </w:tcPr>
          <w:p w14:paraId="612283F1" w14:textId="77777777" w:rsidR="0053232A" w:rsidRPr="006406DD" w:rsidRDefault="0053232A" w:rsidP="00E57F6C">
            <w:proofErr w:type="spellStart"/>
            <w:r w:rsidRPr="006406DD">
              <w:t>Tu</w:t>
            </w:r>
            <w:proofErr w:type="spellEnd"/>
            <w:r w:rsidRPr="006406DD">
              <w:t xml:space="preserve"> Aug 18</w:t>
            </w:r>
          </w:p>
        </w:tc>
        <w:tc>
          <w:tcPr>
            <w:tcW w:w="990" w:type="dxa"/>
          </w:tcPr>
          <w:p w14:paraId="042CAA31" w14:textId="77777777" w:rsidR="0053232A" w:rsidRPr="006406DD" w:rsidRDefault="0053232A" w:rsidP="00E57F6C">
            <w:r>
              <w:t>L&amp;D</w:t>
            </w:r>
          </w:p>
        </w:tc>
        <w:tc>
          <w:tcPr>
            <w:tcW w:w="1710" w:type="dxa"/>
          </w:tcPr>
          <w:p w14:paraId="4089D405" w14:textId="77777777" w:rsidR="0053232A" w:rsidRPr="006406DD" w:rsidRDefault="0053232A" w:rsidP="00E57F6C">
            <w:r>
              <w:t>Course Overview</w:t>
            </w:r>
          </w:p>
        </w:tc>
        <w:tc>
          <w:tcPr>
            <w:tcW w:w="3150" w:type="dxa"/>
          </w:tcPr>
          <w:p w14:paraId="0297A2D4" w14:textId="77777777" w:rsidR="0053232A" w:rsidRPr="006406DD" w:rsidRDefault="0053232A" w:rsidP="00E57F6C"/>
        </w:tc>
        <w:tc>
          <w:tcPr>
            <w:tcW w:w="1548" w:type="dxa"/>
          </w:tcPr>
          <w:p w14:paraId="0E4E5EC8" w14:textId="77777777" w:rsidR="0053232A" w:rsidRPr="006406DD" w:rsidRDefault="0053232A" w:rsidP="00E57F6C"/>
        </w:tc>
      </w:tr>
      <w:tr w:rsidR="0053232A" w:rsidRPr="006406DD" w14:paraId="077ED769" w14:textId="77777777" w:rsidTr="00E57F6C">
        <w:tc>
          <w:tcPr>
            <w:tcW w:w="1278" w:type="dxa"/>
          </w:tcPr>
          <w:p w14:paraId="0B5844E1" w14:textId="77777777" w:rsidR="0053232A" w:rsidRPr="006406DD" w:rsidRDefault="0053232A" w:rsidP="00E57F6C">
            <w:proofErr w:type="spellStart"/>
            <w:r w:rsidRPr="006406DD">
              <w:t>Th</w:t>
            </w:r>
            <w:proofErr w:type="spellEnd"/>
            <w:r w:rsidRPr="006406DD">
              <w:t xml:space="preserve"> Aug 20</w:t>
            </w:r>
          </w:p>
        </w:tc>
        <w:tc>
          <w:tcPr>
            <w:tcW w:w="990" w:type="dxa"/>
          </w:tcPr>
          <w:p w14:paraId="5457219C" w14:textId="77777777" w:rsidR="0053232A" w:rsidRPr="006406DD" w:rsidRDefault="0053232A" w:rsidP="00E57F6C">
            <w:r>
              <w:t>L</w:t>
            </w:r>
          </w:p>
        </w:tc>
        <w:tc>
          <w:tcPr>
            <w:tcW w:w="1710" w:type="dxa"/>
          </w:tcPr>
          <w:p w14:paraId="2DB14E84" w14:textId="77777777" w:rsidR="0053232A" w:rsidRPr="006406DD" w:rsidRDefault="0053232A" w:rsidP="00E57F6C">
            <w:r>
              <w:t>Validity typology</w:t>
            </w:r>
          </w:p>
        </w:tc>
        <w:tc>
          <w:tcPr>
            <w:tcW w:w="3150" w:type="dxa"/>
          </w:tcPr>
          <w:p w14:paraId="061DE690" w14:textId="77777777" w:rsidR="0053232A" w:rsidRPr="006406DD" w:rsidRDefault="0053232A" w:rsidP="00E57F6C">
            <w:r>
              <w:t>SCC</w:t>
            </w:r>
            <w:r w:rsidRPr="007059C9">
              <w:t>, chapter</w:t>
            </w:r>
            <w:r>
              <w:t>s</w:t>
            </w:r>
            <w:r w:rsidRPr="007059C9">
              <w:t xml:space="preserve"> 1</w:t>
            </w:r>
            <w:r>
              <w:t>-3</w:t>
            </w:r>
          </w:p>
        </w:tc>
        <w:tc>
          <w:tcPr>
            <w:tcW w:w="1548" w:type="dxa"/>
          </w:tcPr>
          <w:p w14:paraId="4422D62A" w14:textId="77777777" w:rsidR="0053232A" w:rsidRPr="006406DD" w:rsidRDefault="0053232A" w:rsidP="00E57F6C"/>
        </w:tc>
      </w:tr>
      <w:tr w:rsidR="0053232A" w:rsidRPr="006406DD" w14:paraId="59D5F6E3" w14:textId="77777777" w:rsidTr="00E57F6C">
        <w:tc>
          <w:tcPr>
            <w:tcW w:w="1278" w:type="dxa"/>
          </w:tcPr>
          <w:p w14:paraId="281A9BEE" w14:textId="77777777" w:rsidR="0053232A" w:rsidRPr="006406DD" w:rsidRDefault="0053232A" w:rsidP="00E57F6C">
            <w:proofErr w:type="spellStart"/>
            <w:r w:rsidRPr="006406DD">
              <w:t>Tu</w:t>
            </w:r>
            <w:proofErr w:type="spellEnd"/>
            <w:r w:rsidRPr="006406DD">
              <w:t xml:space="preserve"> Aug 25</w:t>
            </w:r>
          </w:p>
        </w:tc>
        <w:tc>
          <w:tcPr>
            <w:tcW w:w="990" w:type="dxa"/>
          </w:tcPr>
          <w:p w14:paraId="1FDCC990" w14:textId="77777777" w:rsidR="0053232A" w:rsidRPr="006406DD" w:rsidRDefault="0053232A" w:rsidP="00E57F6C">
            <w:r>
              <w:t>L</w:t>
            </w:r>
          </w:p>
        </w:tc>
        <w:tc>
          <w:tcPr>
            <w:tcW w:w="1710" w:type="dxa"/>
          </w:tcPr>
          <w:p w14:paraId="742D5374" w14:textId="77777777" w:rsidR="0053232A" w:rsidRPr="006406DD" w:rsidRDefault="0053232A" w:rsidP="00E57F6C">
            <w:r>
              <w:t xml:space="preserve">Causal effects </w:t>
            </w:r>
          </w:p>
        </w:tc>
        <w:tc>
          <w:tcPr>
            <w:tcW w:w="3150" w:type="dxa"/>
          </w:tcPr>
          <w:p w14:paraId="09E7878C" w14:textId="77777777" w:rsidR="0053232A" w:rsidRDefault="0053232A" w:rsidP="00E57F6C">
            <w:pPr>
              <w:widowControl w:val="0"/>
              <w:autoSpaceDE w:val="0"/>
              <w:autoSpaceDN w:val="0"/>
              <w:adjustRightInd w:val="0"/>
              <w:rPr>
                <w:b/>
                <w:u w:val="single"/>
              </w:rPr>
            </w:pPr>
            <w:r>
              <w:rPr>
                <w:rFonts w:cs="Palatino Linotype"/>
                <w:color w:val="000000"/>
              </w:rPr>
              <w:t xml:space="preserve">Pearl 2000, </w:t>
            </w:r>
            <w:r w:rsidRPr="00541FF3">
              <w:t>epilogue</w:t>
            </w:r>
          </w:p>
          <w:p w14:paraId="1247C9D3" w14:textId="77777777" w:rsidR="0053232A" w:rsidRDefault="0053232A" w:rsidP="00E57F6C">
            <w:pPr>
              <w:widowControl w:val="0"/>
              <w:autoSpaceDE w:val="0"/>
              <w:autoSpaceDN w:val="0"/>
              <w:adjustRightInd w:val="0"/>
              <w:rPr>
                <w:rFonts w:cs="Times"/>
              </w:rPr>
            </w:pPr>
            <w:r>
              <w:rPr>
                <w:rFonts w:cs="Times"/>
              </w:rPr>
              <w:t>Holland 1986</w:t>
            </w:r>
          </w:p>
          <w:p w14:paraId="67164D76" w14:textId="77777777" w:rsidR="0053232A" w:rsidRPr="00654C6E" w:rsidRDefault="0053232A" w:rsidP="00E57F6C">
            <w:pPr>
              <w:widowControl w:val="0"/>
              <w:autoSpaceDE w:val="0"/>
              <w:autoSpaceDN w:val="0"/>
              <w:adjustRightInd w:val="0"/>
              <w:rPr>
                <w:rFonts w:cs="Times"/>
              </w:rPr>
            </w:pPr>
            <w:r>
              <w:rPr>
                <w:rFonts w:cs="Times New Roman"/>
              </w:rPr>
              <w:t xml:space="preserve">Heckman 2005, </w:t>
            </w:r>
            <w:proofErr w:type="spellStart"/>
            <w:r>
              <w:rPr>
                <w:rFonts w:cs="Times New Roman"/>
              </w:rPr>
              <w:t>pp</w:t>
            </w:r>
            <w:proofErr w:type="spellEnd"/>
            <w:r>
              <w:rPr>
                <w:rFonts w:cs="Times New Roman"/>
              </w:rPr>
              <w:t xml:space="preserve"> </w:t>
            </w:r>
            <w:r w:rsidRPr="00541FF3">
              <w:rPr>
                <w:rFonts w:cs="Times New Roman"/>
              </w:rPr>
              <w:t>1-9</w:t>
            </w:r>
            <w:r>
              <w:rPr>
                <w:rFonts w:cs="Times New Roman"/>
              </w:rPr>
              <w:t xml:space="preserve">. </w:t>
            </w:r>
          </w:p>
        </w:tc>
        <w:tc>
          <w:tcPr>
            <w:tcW w:w="1548" w:type="dxa"/>
          </w:tcPr>
          <w:p w14:paraId="5DA68F57" w14:textId="77777777" w:rsidR="0053232A" w:rsidRPr="006406DD" w:rsidRDefault="0053232A" w:rsidP="00E57F6C"/>
        </w:tc>
      </w:tr>
      <w:tr w:rsidR="0053232A" w:rsidRPr="006406DD" w14:paraId="63E6B976" w14:textId="77777777" w:rsidTr="00E57F6C">
        <w:tc>
          <w:tcPr>
            <w:tcW w:w="1278" w:type="dxa"/>
          </w:tcPr>
          <w:p w14:paraId="006D4D18" w14:textId="77777777" w:rsidR="0053232A" w:rsidRPr="006406DD" w:rsidRDefault="0053232A" w:rsidP="00E57F6C">
            <w:proofErr w:type="spellStart"/>
            <w:r w:rsidRPr="006406DD">
              <w:t>Th</w:t>
            </w:r>
            <w:proofErr w:type="spellEnd"/>
            <w:r w:rsidRPr="006406DD">
              <w:t xml:space="preserve"> Aug 27</w:t>
            </w:r>
          </w:p>
        </w:tc>
        <w:tc>
          <w:tcPr>
            <w:tcW w:w="990" w:type="dxa"/>
          </w:tcPr>
          <w:p w14:paraId="7C333109" w14:textId="77777777" w:rsidR="0053232A" w:rsidRPr="006406DD" w:rsidRDefault="0053232A" w:rsidP="00E57F6C">
            <w:r>
              <w:t>D</w:t>
            </w:r>
          </w:p>
        </w:tc>
        <w:tc>
          <w:tcPr>
            <w:tcW w:w="1710" w:type="dxa"/>
          </w:tcPr>
          <w:p w14:paraId="52ED23A0" w14:textId="77777777" w:rsidR="0053232A" w:rsidRPr="006406DD" w:rsidRDefault="0053232A" w:rsidP="00E57F6C">
            <w:r>
              <w:t>Causal effects</w:t>
            </w:r>
          </w:p>
        </w:tc>
        <w:tc>
          <w:tcPr>
            <w:tcW w:w="3150" w:type="dxa"/>
          </w:tcPr>
          <w:p w14:paraId="6E7C9228" w14:textId="77777777" w:rsidR="0053232A" w:rsidRPr="00654C6E" w:rsidRDefault="0053232A" w:rsidP="00E57F6C">
            <w:pPr>
              <w:widowControl w:val="0"/>
              <w:autoSpaceDE w:val="0"/>
              <w:autoSpaceDN w:val="0"/>
              <w:adjustRightInd w:val="0"/>
              <w:rPr>
                <w:rFonts w:cs="Times"/>
              </w:rPr>
            </w:pPr>
            <w:r>
              <w:rPr>
                <w:rFonts w:eastAsia="Times New Roman" w:cs="Times New Roman"/>
              </w:rPr>
              <w:t>HR</w:t>
            </w:r>
            <w:r>
              <w:rPr>
                <w:rFonts w:cs="Times"/>
              </w:rPr>
              <w:t>, chapters 1-3</w:t>
            </w:r>
          </w:p>
        </w:tc>
        <w:tc>
          <w:tcPr>
            <w:tcW w:w="1548" w:type="dxa"/>
          </w:tcPr>
          <w:p w14:paraId="3BFFEAFD" w14:textId="77777777" w:rsidR="0053232A" w:rsidRPr="006406DD" w:rsidRDefault="0053232A" w:rsidP="00E57F6C"/>
        </w:tc>
      </w:tr>
      <w:tr w:rsidR="0053232A" w:rsidRPr="006406DD" w14:paraId="0C74791F" w14:textId="77777777" w:rsidTr="00E57F6C">
        <w:tc>
          <w:tcPr>
            <w:tcW w:w="1278" w:type="dxa"/>
          </w:tcPr>
          <w:p w14:paraId="2565BDA2" w14:textId="77777777" w:rsidR="0053232A" w:rsidRPr="006406DD" w:rsidRDefault="0053232A" w:rsidP="00E57F6C">
            <w:proofErr w:type="spellStart"/>
            <w:r w:rsidRPr="006406DD">
              <w:t>Tu</w:t>
            </w:r>
            <w:proofErr w:type="spellEnd"/>
            <w:r w:rsidRPr="006406DD">
              <w:t xml:space="preserve"> Sept 1</w:t>
            </w:r>
          </w:p>
        </w:tc>
        <w:tc>
          <w:tcPr>
            <w:tcW w:w="990" w:type="dxa"/>
          </w:tcPr>
          <w:p w14:paraId="4B28BA8E" w14:textId="77777777" w:rsidR="0053232A" w:rsidRPr="006406DD" w:rsidRDefault="0053232A" w:rsidP="00E57F6C">
            <w:r>
              <w:t>L</w:t>
            </w:r>
          </w:p>
        </w:tc>
        <w:tc>
          <w:tcPr>
            <w:tcW w:w="1710" w:type="dxa"/>
          </w:tcPr>
          <w:p w14:paraId="7489B718" w14:textId="77777777" w:rsidR="0053232A" w:rsidRPr="006406DD" w:rsidRDefault="0053232A" w:rsidP="00E57F6C">
            <w:r>
              <w:t>Causal graphs / Confounding</w:t>
            </w:r>
          </w:p>
        </w:tc>
        <w:tc>
          <w:tcPr>
            <w:tcW w:w="3150" w:type="dxa"/>
          </w:tcPr>
          <w:p w14:paraId="624207EE" w14:textId="77777777" w:rsidR="0053232A" w:rsidRDefault="0053232A" w:rsidP="00E57F6C">
            <w:r>
              <w:rPr>
                <w:rFonts w:eastAsia="Times New Roman" w:cs="Times New Roman"/>
              </w:rPr>
              <w:t>HR</w:t>
            </w:r>
            <w:r>
              <w:rPr>
                <w:rFonts w:cs="Times"/>
              </w:rPr>
              <w:t xml:space="preserve">, chapters </w:t>
            </w:r>
            <w:r>
              <w:t>6-7</w:t>
            </w:r>
          </w:p>
          <w:p w14:paraId="1A372B2D" w14:textId="104549CF" w:rsidR="0053232A" w:rsidRDefault="0053232A" w:rsidP="00E57F6C">
            <w:r>
              <w:t>Morgan &amp; Winship</w:t>
            </w:r>
            <w:r w:rsidRPr="007059C9">
              <w:t xml:space="preserve">, </w:t>
            </w:r>
            <w:r>
              <w:t>chapter</w:t>
            </w:r>
            <w:r w:rsidR="00D62F70">
              <w:t>s</w:t>
            </w:r>
            <w:r>
              <w:t xml:space="preserve"> </w:t>
            </w:r>
            <w:r w:rsidRPr="007059C9">
              <w:t>3</w:t>
            </w:r>
            <w:r w:rsidR="00D62F70">
              <w:t xml:space="preserve"> &amp; 4</w:t>
            </w:r>
          </w:p>
          <w:p w14:paraId="51801E89" w14:textId="77777777" w:rsidR="0053232A" w:rsidRDefault="0053232A" w:rsidP="00E57F6C">
            <w:r>
              <w:t>Pearl 2000, d-separation without tears</w:t>
            </w:r>
          </w:p>
          <w:p w14:paraId="3B2048A8" w14:textId="77777777" w:rsidR="0053232A" w:rsidRDefault="0053232A" w:rsidP="00E57F6C"/>
          <w:p w14:paraId="60903B88" w14:textId="77777777" w:rsidR="0053232A" w:rsidRDefault="0053232A" w:rsidP="00E57F6C">
            <w:r>
              <w:t>Background / Optional</w:t>
            </w:r>
          </w:p>
          <w:p w14:paraId="1848BCD5" w14:textId="77777777" w:rsidR="0053232A" w:rsidRDefault="0053232A" w:rsidP="00E57F6C">
            <w:pPr>
              <w:rPr>
                <w:rFonts w:eastAsia="Times New Roman" w:cs="Times New Roman"/>
              </w:rPr>
            </w:pPr>
            <w:proofErr w:type="spellStart"/>
            <w:r>
              <w:rPr>
                <w:rFonts w:eastAsia="Times New Roman" w:cs="Times New Roman"/>
              </w:rPr>
              <w:t>Hernán</w:t>
            </w:r>
            <w:proofErr w:type="spellEnd"/>
            <w:r>
              <w:rPr>
                <w:rFonts w:eastAsia="Times New Roman" w:cs="Times New Roman"/>
              </w:rPr>
              <w:t xml:space="preserve"> et al 2002</w:t>
            </w:r>
          </w:p>
          <w:p w14:paraId="3980E47D" w14:textId="77777777" w:rsidR="0053232A" w:rsidRPr="006406DD" w:rsidRDefault="0053232A" w:rsidP="00E57F6C">
            <w:proofErr w:type="spellStart"/>
            <w:r>
              <w:t>Elwert</w:t>
            </w:r>
            <w:proofErr w:type="spellEnd"/>
            <w:r>
              <w:t xml:space="preserve"> 2013, </w:t>
            </w:r>
            <w:proofErr w:type="spellStart"/>
            <w:r>
              <w:t>pp</w:t>
            </w:r>
            <w:proofErr w:type="spellEnd"/>
            <w:r>
              <w:t xml:space="preserve"> 245-262 </w:t>
            </w:r>
          </w:p>
        </w:tc>
        <w:tc>
          <w:tcPr>
            <w:tcW w:w="1548" w:type="dxa"/>
          </w:tcPr>
          <w:p w14:paraId="20CA503A" w14:textId="77777777" w:rsidR="0053232A" w:rsidRPr="006406DD" w:rsidRDefault="0053232A" w:rsidP="00E57F6C"/>
        </w:tc>
      </w:tr>
      <w:tr w:rsidR="0053232A" w:rsidRPr="006406DD" w14:paraId="2F5009E2" w14:textId="77777777" w:rsidTr="00E57F6C">
        <w:tc>
          <w:tcPr>
            <w:tcW w:w="1278" w:type="dxa"/>
          </w:tcPr>
          <w:p w14:paraId="6B5748A4" w14:textId="77777777" w:rsidR="0053232A" w:rsidRPr="006406DD" w:rsidRDefault="0053232A" w:rsidP="00E57F6C">
            <w:proofErr w:type="spellStart"/>
            <w:r w:rsidRPr="006406DD">
              <w:t>Th</w:t>
            </w:r>
            <w:proofErr w:type="spellEnd"/>
            <w:r w:rsidRPr="006406DD">
              <w:t xml:space="preserve"> Sept 3</w:t>
            </w:r>
          </w:p>
        </w:tc>
        <w:tc>
          <w:tcPr>
            <w:tcW w:w="990" w:type="dxa"/>
          </w:tcPr>
          <w:p w14:paraId="0E8AA621" w14:textId="77777777" w:rsidR="0053232A" w:rsidRPr="006406DD" w:rsidRDefault="0053232A" w:rsidP="00E57F6C">
            <w:r>
              <w:t>L</w:t>
            </w:r>
          </w:p>
        </w:tc>
        <w:tc>
          <w:tcPr>
            <w:tcW w:w="1710" w:type="dxa"/>
          </w:tcPr>
          <w:p w14:paraId="25187B54" w14:textId="4D2D4684" w:rsidR="0053232A" w:rsidRDefault="00F215AD" w:rsidP="00E57F6C">
            <w:r>
              <w:t xml:space="preserve">Confounding / </w:t>
            </w:r>
          </w:p>
          <w:p w14:paraId="7813FEDA" w14:textId="77777777" w:rsidR="0053232A" w:rsidRPr="006406DD" w:rsidRDefault="00F215AD" w:rsidP="00E57F6C">
            <w:r>
              <w:t>Simulation</w:t>
            </w:r>
          </w:p>
        </w:tc>
        <w:tc>
          <w:tcPr>
            <w:tcW w:w="3150" w:type="dxa"/>
          </w:tcPr>
          <w:p w14:paraId="1E097743" w14:textId="5CF71842" w:rsidR="0053232A" w:rsidRPr="002511FA" w:rsidRDefault="00F215AD" w:rsidP="00E57F6C">
            <w:r>
              <w:t>See above</w:t>
            </w:r>
          </w:p>
        </w:tc>
        <w:tc>
          <w:tcPr>
            <w:tcW w:w="1548" w:type="dxa"/>
          </w:tcPr>
          <w:p w14:paraId="6C310314" w14:textId="77777777" w:rsidR="0053232A" w:rsidRPr="006406DD" w:rsidRDefault="0053232A" w:rsidP="00E57F6C"/>
        </w:tc>
      </w:tr>
      <w:tr w:rsidR="0053232A" w:rsidRPr="006406DD" w14:paraId="2C06E300" w14:textId="77777777" w:rsidTr="00E57F6C">
        <w:tc>
          <w:tcPr>
            <w:tcW w:w="1278" w:type="dxa"/>
          </w:tcPr>
          <w:p w14:paraId="2C97E112" w14:textId="77777777" w:rsidR="0053232A" w:rsidRPr="006406DD" w:rsidRDefault="0053232A" w:rsidP="00E57F6C">
            <w:proofErr w:type="spellStart"/>
            <w:r w:rsidRPr="006406DD">
              <w:t>Tu</w:t>
            </w:r>
            <w:proofErr w:type="spellEnd"/>
            <w:r w:rsidRPr="006406DD">
              <w:t xml:space="preserve"> Sept 8</w:t>
            </w:r>
          </w:p>
        </w:tc>
        <w:tc>
          <w:tcPr>
            <w:tcW w:w="990" w:type="dxa"/>
          </w:tcPr>
          <w:p w14:paraId="59A22B55" w14:textId="77777777" w:rsidR="0053232A" w:rsidRPr="006406DD" w:rsidRDefault="0053232A" w:rsidP="00E57F6C">
            <w:r>
              <w:t>D</w:t>
            </w:r>
          </w:p>
        </w:tc>
        <w:tc>
          <w:tcPr>
            <w:tcW w:w="1710" w:type="dxa"/>
          </w:tcPr>
          <w:p w14:paraId="3D6533C5" w14:textId="0E6A81CF" w:rsidR="0053232A" w:rsidRPr="006406DD" w:rsidRDefault="0053232A" w:rsidP="00E57F6C">
            <w:r>
              <w:t>Selection bias / Mediation</w:t>
            </w:r>
          </w:p>
        </w:tc>
        <w:tc>
          <w:tcPr>
            <w:tcW w:w="3150" w:type="dxa"/>
          </w:tcPr>
          <w:p w14:paraId="21E4CE18" w14:textId="77777777" w:rsidR="0053232A" w:rsidRDefault="0053232A" w:rsidP="00E57F6C">
            <w:r>
              <w:rPr>
                <w:rFonts w:eastAsia="Times New Roman" w:cs="Times New Roman"/>
              </w:rPr>
              <w:t>HR</w:t>
            </w:r>
            <w:r>
              <w:t>, chapter 8</w:t>
            </w:r>
          </w:p>
          <w:p w14:paraId="61C32ACF" w14:textId="77777777" w:rsidR="0053232A" w:rsidRDefault="0053232A" w:rsidP="00E57F6C">
            <w:r>
              <w:t>Imai et al 2011</w:t>
            </w:r>
          </w:p>
          <w:p w14:paraId="174E3AF7" w14:textId="77777777" w:rsidR="0053232A" w:rsidRDefault="0053232A" w:rsidP="00E57F6C">
            <w:proofErr w:type="spellStart"/>
            <w:r>
              <w:t>VanderWeele</w:t>
            </w:r>
            <w:proofErr w:type="spellEnd"/>
            <w:r>
              <w:t xml:space="preserve"> 2015, </w:t>
            </w:r>
            <w:proofErr w:type="spellStart"/>
            <w:r>
              <w:t>pp</w:t>
            </w:r>
            <w:proofErr w:type="spellEnd"/>
            <w:r>
              <w:t xml:space="preserve"> 20-35</w:t>
            </w:r>
          </w:p>
          <w:p w14:paraId="2F38E18F" w14:textId="77777777" w:rsidR="0053232A" w:rsidRDefault="0053232A" w:rsidP="00E57F6C"/>
          <w:p w14:paraId="3431FDE5" w14:textId="77777777" w:rsidR="0053232A" w:rsidRDefault="0053232A" w:rsidP="00E57F6C">
            <w:r>
              <w:t>Background / Optional</w:t>
            </w:r>
          </w:p>
          <w:p w14:paraId="7CE616F3" w14:textId="77777777" w:rsidR="0053232A" w:rsidRDefault="0053232A" w:rsidP="00E57F6C">
            <w:proofErr w:type="spellStart"/>
            <w:r>
              <w:t>Elwert</w:t>
            </w:r>
            <w:proofErr w:type="spellEnd"/>
            <w:r>
              <w:t xml:space="preserve"> &amp; Winship 2014</w:t>
            </w:r>
          </w:p>
          <w:p w14:paraId="220B6389" w14:textId="77777777" w:rsidR="0053232A" w:rsidRDefault="0053232A" w:rsidP="00E57F6C">
            <w:pPr>
              <w:widowControl w:val="0"/>
              <w:autoSpaceDE w:val="0"/>
              <w:autoSpaceDN w:val="0"/>
              <w:adjustRightInd w:val="0"/>
            </w:pPr>
            <w:proofErr w:type="spellStart"/>
            <w:r>
              <w:rPr>
                <w:rFonts w:eastAsia="Times New Roman" w:cs="Times New Roman"/>
              </w:rPr>
              <w:t>Hernán</w:t>
            </w:r>
            <w:proofErr w:type="spellEnd"/>
            <w:r>
              <w:rPr>
                <w:rFonts w:eastAsia="Times New Roman" w:cs="Times New Roman"/>
              </w:rPr>
              <w:t xml:space="preserve"> </w:t>
            </w:r>
            <w:r>
              <w:t>et al 2004</w:t>
            </w:r>
          </w:p>
          <w:p w14:paraId="29F650F8" w14:textId="77777777" w:rsidR="0053232A" w:rsidRDefault="0053232A" w:rsidP="00E57F6C">
            <w:r>
              <w:t>Baron &amp; Kenny 1986</w:t>
            </w:r>
          </w:p>
          <w:p w14:paraId="6E7FE8E0" w14:textId="77777777" w:rsidR="0053232A" w:rsidRPr="006406DD" w:rsidRDefault="0053232A" w:rsidP="00E57F6C">
            <w:proofErr w:type="spellStart"/>
            <w:r>
              <w:t>Valeri</w:t>
            </w:r>
            <w:proofErr w:type="spellEnd"/>
            <w:r>
              <w:t xml:space="preserve"> &amp; </w:t>
            </w:r>
            <w:proofErr w:type="spellStart"/>
            <w:r>
              <w:t>VanderWeele</w:t>
            </w:r>
            <w:proofErr w:type="spellEnd"/>
            <w:r>
              <w:t xml:space="preserve"> 2013</w:t>
            </w:r>
          </w:p>
        </w:tc>
        <w:tc>
          <w:tcPr>
            <w:tcW w:w="1548" w:type="dxa"/>
          </w:tcPr>
          <w:p w14:paraId="3C15D130" w14:textId="27028FE8" w:rsidR="0053232A" w:rsidRPr="006406DD" w:rsidRDefault="0053232A" w:rsidP="00E57F6C"/>
        </w:tc>
      </w:tr>
      <w:tr w:rsidR="0053232A" w:rsidRPr="006406DD" w14:paraId="281BAB30" w14:textId="77777777" w:rsidTr="00E57F6C">
        <w:tc>
          <w:tcPr>
            <w:tcW w:w="1278" w:type="dxa"/>
          </w:tcPr>
          <w:p w14:paraId="1F3F3232" w14:textId="77777777" w:rsidR="0053232A" w:rsidRPr="006406DD" w:rsidRDefault="0053232A" w:rsidP="00E57F6C">
            <w:proofErr w:type="spellStart"/>
            <w:r w:rsidRPr="006406DD">
              <w:t>Th</w:t>
            </w:r>
            <w:proofErr w:type="spellEnd"/>
            <w:r w:rsidRPr="006406DD">
              <w:t xml:space="preserve"> Sept 10</w:t>
            </w:r>
          </w:p>
        </w:tc>
        <w:tc>
          <w:tcPr>
            <w:tcW w:w="990" w:type="dxa"/>
          </w:tcPr>
          <w:p w14:paraId="56756EAC" w14:textId="2857897B" w:rsidR="0053232A" w:rsidRPr="006406DD" w:rsidRDefault="00F215AD" w:rsidP="00E57F6C">
            <w:r>
              <w:t>D</w:t>
            </w:r>
          </w:p>
        </w:tc>
        <w:tc>
          <w:tcPr>
            <w:tcW w:w="1710" w:type="dxa"/>
          </w:tcPr>
          <w:p w14:paraId="72239366" w14:textId="77777777" w:rsidR="0053232A" w:rsidRPr="006406DD" w:rsidRDefault="0053232A" w:rsidP="00E57F6C">
            <w:r>
              <w:t>Causal Inference</w:t>
            </w:r>
          </w:p>
        </w:tc>
        <w:tc>
          <w:tcPr>
            <w:tcW w:w="3150" w:type="dxa"/>
          </w:tcPr>
          <w:p w14:paraId="59DAA4DE" w14:textId="77777777" w:rsidR="0053232A" w:rsidRPr="000D0C0A" w:rsidRDefault="0053232A" w:rsidP="00E57F6C">
            <w:pPr>
              <w:rPr>
                <w:rFonts w:eastAsia="Times New Roman" w:cs="Times New Roman"/>
              </w:rPr>
            </w:pPr>
          </w:p>
        </w:tc>
        <w:tc>
          <w:tcPr>
            <w:tcW w:w="1548" w:type="dxa"/>
          </w:tcPr>
          <w:p w14:paraId="33F3B962" w14:textId="2AD9C4AA" w:rsidR="0053232A" w:rsidRPr="006406DD" w:rsidRDefault="007F2745" w:rsidP="00E57F6C">
            <w:r>
              <w:t>Take Home Exam – Released 7 pm. Due 9 pm.</w:t>
            </w:r>
          </w:p>
        </w:tc>
      </w:tr>
      <w:tr w:rsidR="0053232A" w:rsidRPr="006406DD" w14:paraId="0E2489AA" w14:textId="77777777" w:rsidTr="00E57F6C">
        <w:tc>
          <w:tcPr>
            <w:tcW w:w="1278" w:type="dxa"/>
          </w:tcPr>
          <w:p w14:paraId="488307F6" w14:textId="77777777" w:rsidR="0053232A" w:rsidRPr="006406DD" w:rsidRDefault="0053232A" w:rsidP="00E57F6C">
            <w:proofErr w:type="spellStart"/>
            <w:r>
              <w:t>Tu</w:t>
            </w:r>
            <w:proofErr w:type="spellEnd"/>
            <w:r>
              <w:t xml:space="preserve"> Sept 15</w:t>
            </w:r>
          </w:p>
        </w:tc>
        <w:tc>
          <w:tcPr>
            <w:tcW w:w="990" w:type="dxa"/>
          </w:tcPr>
          <w:p w14:paraId="65D532B2" w14:textId="77777777" w:rsidR="0053232A" w:rsidRPr="006406DD" w:rsidRDefault="0053232A" w:rsidP="00E57F6C">
            <w:r>
              <w:t>L</w:t>
            </w:r>
          </w:p>
        </w:tc>
        <w:tc>
          <w:tcPr>
            <w:tcW w:w="1710" w:type="dxa"/>
          </w:tcPr>
          <w:p w14:paraId="3F06B7B2" w14:textId="77777777" w:rsidR="0053232A" w:rsidRPr="006406DD" w:rsidRDefault="0053232A" w:rsidP="00E57F6C">
            <w:r>
              <w:t xml:space="preserve">Experiments </w:t>
            </w:r>
          </w:p>
        </w:tc>
        <w:tc>
          <w:tcPr>
            <w:tcW w:w="3150" w:type="dxa"/>
          </w:tcPr>
          <w:p w14:paraId="7FC20A1E" w14:textId="77777777" w:rsidR="0053232A" w:rsidRPr="006406DD" w:rsidRDefault="0053232A" w:rsidP="00E57F6C">
            <w:r>
              <w:t>MW</w:t>
            </w:r>
            <w:r w:rsidRPr="007059C9">
              <w:t>, chapters 4-</w:t>
            </w:r>
            <w:r>
              <w:t>5 (chapters 6-7 optional)</w:t>
            </w:r>
          </w:p>
        </w:tc>
        <w:tc>
          <w:tcPr>
            <w:tcW w:w="1548" w:type="dxa"/>
          </w:tcPr>
          <w:p w14:paraId="520B14A9" w14:textId="77777777" w:rsidR="0053232A" w:rsidRPr="006406DD" w:rsidRDefault="007F2745" w:rsidP="00E57F6C">
            <w:r>
              <w:t>Simulation / DAG Exercise</w:t>
            </w:r>
          </w:p>
        </w:tc>
      </w:tr>
      <w:tr w:rsidR="0053232A" w:rsidRPr="006406DD" w14:paraId="06B43A8F" w14:textId="77777777" w:rsidTr="00E57F6C">
        <w:tc>
          <w:tcPr>
            <w:tcW w:w="1278" w:type="dxa"/>
          </w:tcPr>
          <w:p w14:paraId="2AC1F24F" w14:textId="77777777" w:rsidR="0053232A" w:rsidRPr="006406DD" w:rsidRDefault="0053232A" w:rsidP="00E57F6C">
            <w:proofErr w:type="spellStart"/>
            <w:r w:rsidRPr="006406DD">
              <w:t>Th</w:t>
            </w:r>
            <w:proofErr w:type="spellEnd"/>
            <w:r w:rsidRPr="006406DD">
              <w:t xml:space="preserve"> Sept 17</w:t>
            </w:r>
          </w:p>
        </w:tc>
        <w:tc>
          <w:tcPr>
            <w:tcW w:w="990" w:type="dxa"/>
          </w:tcPr>
          <w:p w14:paraId="6D799956" w14:textId="77777777" w:rsidR="0053232A" w:rsidRPr="006406DD" w:rsidRDefault="0053232A" w:rsidP="00E57F6C">
            <w:r>
              <w:t>D</w:t>
            </w:r>
          </w:p>
        </w:tc>
        <w:tc>
          <w:tcPr>
            <w:tcW w:w="1710" w:type="dxa"/>
          </w:tcPr>
          <w:p w14:paraId="6CFC73DF" w14:textId="77777777" w:rsidR="0053232A" w:rsidRPr="006406DD" w:rsidRDefault="0053232A" w:rsidP="00E57F6C">
            <w:r>
              <w:t>Experiments</w:t>
            </w:r>
          </w:p>
        </w:tc>
        <w:tc>
          <w:tcPr>
            <w:tcW w:w="3150" w:type="dxa"/>
          </w:tcPr>
          <w:p w14:paraId="2BF62720" w14:textId="4141F120" w:rsidR="0053232A" w:rsidRDefault="0007459C" w:rsidP="00E57F6C">
            <w:r>
              <w:t>Applications of RCT:</w:t>
            </w:r>
          </w:p>
          <w:p w14:paraId="1D47CCDF" w14:textId="77777777" w:rsidR="0053232A" w:rsidRPr="006406DD" w:rsidRDefault="0053232A" w:rsidP="00E57F6C">
            <w:r>
              <w:t>Katz et al 2001</w:t>
            </w:r>
          </w:p>
        </w:tc>
        <w:tc>
          <w:tcPr>
            <w:tcW w:w="1548" w:type="dxa"/>
          </w:tcPr>
          <w:p w14:paraId="668B3D1C" w14:textId="77777777" w:rsidR="0053232A" w:rsidRPr="006406DD" w:rsidRDefault="0053232A" w:rsidP="00E57F6C"/>
        </w:tc>
      </w:tr>
      <w:tr w:rsidR="0053232A" w:rsidRPr="006406DD" w14:paraId="62ABC279" w14:textId="77777777" w:rsidTr="00E57F6C">
        <w:tc>
          <w:tcPr>
            <w:tcW w:w="1278" w:type="dxa"/>
          </w:tcPr>
          <w:p w14:paraId="4B373C31" w14:textId="77777777" w:rsidR="0053232A" w:rsidRPr="006406DD" w:rsidRDefault="0053232A" w:rsidP="00E57F6C">
            <w:proofErr w:type="spellStart"/>
            <w:r w:rsidRPr="006406DD">
              <w:t>Tu</w:t>
            </w:r>
            <w:proofErr w:type="spellEnd"/>
            <w:r w:rsidRPr="006406DD">
              <w:t xml:space="preserve"> Sept 22</w:t>
            </w:r>
          </w:p>
        </w:tc>
        <w:tc>
          <w:tcPr>
            <w:tcW w:w="990" w:type="dxa"/>
          </w:tcPr>
          <w:p w14:paraId="210CFF24" w14:textId="77777777" w:rsidR="0053232A" w:rsidRPr="006406DD" w:rsidRDefault="0053232A" w:rsidP="00E57F6C">
            <w:r>
              <w:t>L</w:t>
            </w:r>
          </w:p>
        </w:tc>
        <w:tc>
          <w:tcPr>
            <w:tcW w:w="1710" w:type="dxa"/>
          </w:tcPr>
          <w:p w14:paraId="0AA4CBAB" w14:textId="77777777" w:rsidR="0053232A" w:rsidRPr="006406DD" w:rsidRDefault="0053232A" w:rsidP="00E57F6C">
            <w:r>
              <w:t>Natural Experiments / IV</w:t>
            </w:r>
          </w:p>
        </w:tc>
        <w:tc>
          <w:tcPr>
            <w:tcW w:w="3150" w:type="dxa"/>
          </w:tcPr>
          <w:p w14:paraId="6F260C73" w14:textId="77777777" w:rsidR="0053232A" w:rsidRDefault="0053232A" w:rsidP="00E57F6C">
            <w:pPr>
              <w:widowControl w:val="0"/>
              <w:autoSpaceDE w:val="0"/>
              <w:autoSpaceDN w:val="0"/>
              <w:adjustRightInd w:val="0"/>
              <w:rPr>
                <w:rFonts w:cs="Times New Roman"/>
              </w:rPr>
            </w:pPr>
            <w:r>
              <w:rPr>
                <w:rFonts w:cs="Times New Roman"/>
              </w:rPr>
              <w:t>MW</w:t>
            </w:r>
            <w:r w:rsidRPr="007059C9">
              <w:rPr>
                <w:rFonts w:cs="Times New Roman"/>
              </w:rPr>
              <w:t>, chapter</w:t>
            </w:r>
            <w:r>
              <w:rPr>
                <w:rFonts w:cs="Times New Roman"/>
              </w:rPr>
              <w:t>s</w:t>
            </w:r>
            <w:r w:rsidRPr="007059C9">
              <w:rPr>
                <w:rFonts w:cs="Times New Roman"/>
              </w:rPr>
              <w:t xml:space="preserve"> 8</w:t>
            </w:r>
            <w:r>
              <w:rPr>
                <w:rFonts w:cs="Times New Roman"/>
              </w:rPr>
              <w:t>, 10-11</w:t>
            </w:r>
          </w:p>
          <w:p w14:paraId="21B893DC" w14:textId="77777777" w:rsidR="0053232A" w:rsidRDefault="0053232A" w:rsidP="00E57F6C">
            <w:pPr>
              <w:widowControl w:val="0"/>
              <w:autoSpaceDE w:val="0"/>
              <w:autoSpaceDN w:val="0"/>
              <w:adjustRightInd w:val="0"/>
              <w:rPr>
                <w:rFonts w:cs="Times New Roman"/>
              </w:rPr>
            </w:pPr>
          </w:p>
          <w:p w14:paraId="410D30F8" w14:textId="77777777" w:rsidR="0053232A" w:rsidRDefault="0053232A" w:rsidP="00E57F6C">
            <w:pPr>
              <w:widowControl w:val="0"/>
              <w:autoSpaceDE w:val="0"/>
              <w:autoSpaceDN w:val="0"/>
              <w:adjustRightInd w:val="0"/>
              <w:rPr>
                <w:rFonts w:cs="Times New Roman"/>
              </w:rPr>
            </w:pPr>
            <w:r>
              <w:rPr>
                <w:rFonts w:cs="Times New Roman"/>
              </w:rPr>
              <w:t>Background / Optional</w:t>
            </w:r>
          </w:p>
          <w:p w14:paraId="321C6FF6" w14:textId="77777777" w:rsidR="0053232A" w:rsidRDefault="0053232A" w:rsidP="00E57F6C">
            <w:pPr>
              <w:rPr>
                <w:color w:val="000000"/>
              </w:rPr>
            </w:pPr>
            <w:r>
              <w:rPr>
                <w:color w:val="000000"/>
              </w:rPr>
              <w:t>Meyer 1995</w:t>
            </w:r>
          </w:p>
          <w:p w14:paraId="0800105B" w14:textId="77777777" w:rsidR="0053232A" w:rsidRDefault="0053232A" w:rsidP="00E57F6C">
            <w:pPr>
              <w:rPr>
                <w:color w:val="000000"/>
              </w:rPr>
            </w:pPr>
            <w:proofErr w:type="spellStart"/>
            <w:r w:rsidRPr="007059C9">
              <w:rPr>
                <w:rFonts w:cs="Times"/>
              </w:rPr>
              <w:t>An</w:t>
            </w:r>
            <w:r>
              <w:rPr>
                <w:rFonts w:cs="Times"/>
              </w:rPr>
              <w:t>grist</w:t>
            </w:r>
            <w:proofErr w:type="spellEnd"/>
            <w:r>
              <w:rPr>
                <w:rFonts w:cs="Times"/>
              </w:rPr>
              <w:t xml:space="preserve"> </w:t>
            </w:r>
            <w:r w:rsidRPr="007059C9">
              <w:rPr>
                <w:rFonts w:cs="Times"/>
              </w:rPr>
              <w:t xml:space="preserve">and </w:t>
            </w:r>
            <w:r>
              <w:rPr>
                <w:rFonts w:cs="Times"/>
              </w:rPr>
              <w:t>Krueger 2001</w:t>
            </w:r>
          </w:p>
          <w:p w14:paraId="05801A53" w14:textId="77777777" w:rsidR="0053232A" w:rsidRDefault="0053232A" w:rsidP="00E57F6C">
            <w:pPr>
              <w:rPr>
                <w:color w:val="000000"/>
              </w:rPr>
            </w:pPr>
            <w:r w:rsidRPr="007059C9">
              <w:rPr>
                <w:color w:val="000000"/>
              </w:rPr>
              <w:t>Rubin 2008</w:t>
            </w:r>
            <w:r>
              <w:rPr>
                <w:color w:val="000000"/>
              </w:rPr>
              <w:t>,</w:t>
            </w:r>
            <w:r w:rsidRPr="007059C9">
              <w:rPr>
                <w:color w:val="000000"/>
              </w:rPr>
              <w:t xml:space="preserve"> pp. 808-815</w:t>
            </w:r>
          </w:p>
          <w:p w14:paraId="1E7E9C86" w14:textId="77777777" w:rsidR="0053232A" w:rsidRPr="007059C9" w:rsidRDefault="0053232A" w:rsidP="00E57F6C">
            <w:pPr>
              <w:rPr>
                <w:color w:val="000000"/>
              </w:rPr>
            </w:pPr>
            <w:proofErr w:type="spellStart"/>
            <w:r>
              <w:rPr>
                <w:color w:val="000000"/>
              </w:rPr>
              <w:t>Angrist</w:t>
            </w:r>
            <w:proofErr w:type="spellEnd"/>
            <w:r>
              <w:rPr>
                <w:color w:val="000000"/>
              </w:rPr>
              <w:t xml:space="preserve"> &amp; </w:t>
            </w:r>
            <w:proofErr w:type="spellStart"/>
            <w:r>
              <w:rPr>
                <w:color w:val="000000"/>
              </w:rPr>
              <w:t>Pischike</w:t>
            </w:r>
            <w:proofErr w:type="spellEnd"/>
            <w:r w:rsidRPr="007059C9">
              <w:rPr>
                <w:color w:val="000000"/>
              </w:rPr>
              <w:t xml:space="preserve"> </w:t>
            </w:r>
            <w:r>
              <w:rPr>
                <w:color w:val="000000"/>
              </w:rPr>
              <w:t>2010</w:t>
            </w:r>
            <w:r w:rsidRPr="007059C9">
              <w:rPr>
                <w:color w:val="000000"/>
              </w:rPr>
              <w:t xml:space="preserve"> </w:t>
            </w:r>
          </w:p>
          <w:p w14:paraId="7A478742" w14:textId="77777777" w:rsidR="0053232A" w:rsidRPr="002511FA" w:rsidRDefault="0053232A" w:rsidP="00E57F6C">
            <w:r w:rsidRPr="007059C9">
              <w:t>Morgan and Winship, chapter 7</w:t>
            </w:r>
          </w:p>
        </w:tc>
        <w:tc>
          <w:tcPr>
            <w:tcW w:w="1548" w:type="dxa"/>
          </w:tcPr>
          <w:p w14:paraId="251CF33A" w14:textId="77777777" w:rsidR="0053232A" w:rsidRPr="006406DD" w:rsidRDefault="0053232A" w:rsidP="00E57F6C"/>
        </w:tc>
      </w:tr>
      <w:tr w:rsidR="0053232A" w:rsidRPr="006406DD" w14:paraId="5D52FDBA" w14:textId="77777777" w:rsidTr="00E57F6C">
        <w:tc>
          <w:tcPr>
            <w:tcW w:w="1278" w:type="dxa"/>
          </w:tcPr>
          <w:p w14:paraId="725083F4" w14:textId="77777777" w:rsidR="0053232A" w:rsidRPr="006406DD" w:rsidRDefault="0053232A" w:rsidP="00E57F6C">
            <w:proofErr w:type="spellStart"/>
            <w:r w:rsidRPr="006406DD">
              <w:t>Th</w:t>
            </w:r>
            <w:proofErr w:type="spellEnd"/>
            <w:r w:rsidRPr="006406DD">
              <w:t xml:space="preserve"> Sept 24</w:t>
            </w:r>
          </w:p>
        </w:tc>
        <w:tc>
          <w:tcPr>
            <w:tcW w:w="990" w:type="dxa"/>
          </w:tcPr>
          <w:p w14:paraId="15E32C57" w14:textId="77777777" w:rsidR="0053232A" w:rsidRPr="006406DD" w:rsidRDefault="0053232A" w:rsidP="00E57F6C">
            <w:r>
              <w:t>D</w:t>
            </w:r>
          </w:p>
        </w:tc>
        <w:tc>
          <w:tcPr>
            <w:tcW w:w="1710" w:type="dxa"/>
          </w:tcPr>
          <w:p w14:paraId="4728D375" w14:textId="77777777" w:rsidR="0053232A" w:rsidRPr="006406DD" w:rsidRDefault="0053232A" w:rsidP="00E57F6C">
            <w:r>
              <w:t>IV</w:t>
            </w:r>
          </w:p>
        </w:tc>
        <w:tc>
          <w:tcPr>
            <w:tcW w:w="3150" w:type="dxa"/>
          </w:tcPr>
          <w:p w14:paraId="5849A8E4" w14:textId="77777777" w:rsidR="0007459C" w:rsidRDefault="0007459C" w:rsidP="00E57F6C">
            <w:pPr>
              <w:widowControl w:val="0"/>
              <w:autoSpaceDE w:val="0"/>
              <w:autoSpaceDN w:val="0"/>
              <w:adjustRightInd w:val="0"/>
              <w:rPr>
                <w:rFonts w:cs="Times"/>
              </w:rPr>
            </w:pPr>
            <w:r>
              <w:rPr>
                <w:rFonts w:cs="Times"/>
              </w:rPr>
              <w:t>Applications of IV:</w:t>
            </w:r>
          </w:p>
          <w:p w14:paraId="57632E18" w14:textId="77777777" w:rsidR="0053232A" w:rsidRDefault="0053232A" w:rsidP="00E57F6C">
            <w:pPr>
              <w:widowControl w:val="0"/>
              <w:autoSpaceDE w:val="0"/>
              <w:autoSpaceDN w:val="0"/>
              <w:adjustRightInd w:val="0"/>
              <w:rPr>
                <w:rFonts w:cs="Times"/>
              </w:rPr>
            </w:pPr>
            <w:proofErr w:type="spellStart"/>
            <w:r>
              <w:rPr>
                <w:rFonts w:cs="Times"/>
              </w:rPr>
              <w:t>Angrist</w:t>
            </w:r>
            <w:proofErr w:type="spellEnd"/>
            <w:r>
              <w:rPr>
                <w:rFonts w:cs="Times"/>
              </w:rPr>
              <w:t xml:space="preserve"> 1990</w:t>
            </w:r>
          </w:p>
          <w:p w14:paraId="65EEF8E0" w14:textId="1A4D67CA" w:rsidR="00657FC9" w:rsidRPr="002511FA" w:rsidRDefault="00657FC9" w:rsidP="00E57F6C">
            <w:pPr>
              <w:widowControl w:val="0"/>
              <w:autoSpaceDE w:val="0"/>
              <w:autoSpaceDN w:val="0"/>
              <w:adjustRightInd w:val="0"/>
              <w:rPr>
                <w:rFonts w:cs="Times"/>
              </w:rPr>
            </w:pPr>
            <w:r w:rsidRPr="00657FC9">
              <w:rPr>
                <w:rFonts w:cs="Times"/>
                <w:highlight w:val="yellow"/>
              </w:rPr>
              <w:t>Research IV papers in an area of interest</w:t>
            </w:r>
          </w:p>
        </w:tc>
        <w:tc>
          <w:tcPr>
            <w:tcW w:w="1548" w:type="dxa"/>
          </w:tcPr>
          <w:p w14:paraId="1BCE8863" w14:textId="77777777" w:rsidR="0053232A" w:rsidRPr="006406DD" w:rsidRDefault="0053232A" w:rsidP="00E57F6C"/>
        </w:tc>
      </w:tr>
      <w:tr w:rsidR="0053232A" w:rsidRPr="006406DD" w14:paraId="2E879339" w14:textId="77777777" w:rsidTr="00E57F6C">
        <w:tc>
          <w:tcPr>
            <w:tcW w:w="1278" w:type="dxa"/>
          </w:tcPr>
          <w:p w14:paraId="53DCB883" w14:textId="1CE11AC2" w:rsidR="0053232A" w:rsidRPr="006406DD" w:rsidRDefault="0053232A" w:rsidP="00E57F6C">
            <w:proofErr w:type="spellStart"/>
            <w:r w:rsidRPr="006406DD">
              <w:t>Tu</w:t>
            </w:r>
            <w:proofErr w:type="spellEnd"/>
            <w:r w:rsidRPr="006406DD">
              <w:t xml:space="preserve"> Sept 29</w:t>
            </w:r>
          </w:p>
        </w:tc>
        <w:tc>
          <w:tcPr>
            <w:tcW w:w="990" w:type="dxa"/>
          </w:tcPr>
          <w:p w14:paraId="559F61AA" w14:textId="77777777" w:rsidR="0053232A" w:rsidRPr="006406DD" w:rsidRDefault="0053232A" w:rsidP="00E57F6C">
            <w:r>
              <w:t>L</w:t>
            </w:r>
          </w:p>
        </w:tc>
        <w:tc>
          <w:tcPr>
            <w:tcW w:w="1710" w:type="dxa"/>
          </w:tcPr>
          <w:p w14:paraId="5E729C0F" w14:textId="77777777" w:rsidR="0053232A" w:rsidRPr="006406DD" w:rsidRDefault="0053232A" w:rsidP="00E57F6C">
            <w:r>
              <w:t>RD</w:t>
            </w:r>
          </w:p>
        </w:tc>
        <w:tc>
          <w:tcPr>
            <w:tcW w:w="3150" w:type="dxa"/>
          </w:tcPr>
          <w:p w14:paraId="6DD9DB77" w14:textId="77777777" w:rsidR="0053232A" w:rsidRDefault="0053232A" w:rsidP="00E57F6C">
            <w:r>
              <w:t>SCC, chapter 7</w:t>
            </w:r>
          </w:p>
          <w:p w14:paraId="59C55346" w14:textId="77777777" w:rsidR="0053232A" w:rsidRDefault="0053232A" w:rsidP="00E57F6C">
            <w:r>
              <w:t>MW</w:t>
            </w:r>
            <w:r w:rsidRPr="007059C9">
              <w:t>, chapter 9</w:t>
            </w:r>
          </w:p>
          <w:p w14:paraId="021885C4" w14:textId="77777777" w:rsidR="0053232A" w:rsidRDefault="0053232A" w:rsidP="00E57F6C"/>
          <w:p w14:paraId="01D061CF" w14:textId="77777777" w:rsidR="0053232A" w:rsidRDefault="0053232A" w:rsidP="00E57F6C">
            <w:r>
              <w:t>Background / Optional</w:t>
            </w:r>
          </w:p>
          <w:p w14:paraId="3244FF1F" w14:textId="77777777" w:rsidR="0053232A" w:rsidRPr="006406DD" w:rsidRDefault="0053232A" w:rsidP="00E57F6C">
            <w:proofErr w:type="spellStart"/>
            <w:r>
              <w:rPr>
                <w:color w:val="000000"/>
              </w:rPr>
              <w:t>Imbens</w:t>
            </w:r>
            <w:proofErr w:type="spellEnd"/>
            <w:r>
              <w:rPr>
                <w:color w:val="000000"/>
              </w:rPr>
              <w:t xml:space="preserve"> &amp; Lemieux </w:t>
            </w:r>
            <w:r w:rsidRPr="007059C9">
              <w:rPr>
                <w:color w:val="000000"/>
              </w:rPr>
              <w:t>2007</w:t>
            </w:r>
          </w:p>
        </w:tc>
        <w:tc>
          <w:tcPr>
            <w:tcW w:w="1548" w:type="dxa"/>
          </w:tcPr>
          <w:p w14:paraId="1BFC063A" w14:textId="77777777" w:rsidR="0053232A" w:rsidRPr="006406DD" w:rsidRDefault="0053232A" w:rsidP="00E57F6C"/>
        </w:tc>
      </w:tr>
      <w:tr w:rsidR="0053232A" w:rsidRPr="006406DD" w14:paraId="6498D94E" w14:textId="77777777" w:rsidTr="00E57F6C">
        <w:tc>
          <w:tcPr>
            <w:tcW w:w="1278" w:type="dxa"/>
          </w:tcPr>
          <w:p w14:paraId="2227B55F" w14:textId="77777777" w:rsidR="0053232A" w:rsidRPr="006406DD" w:rsidRDefault="0053232A" w:rsidP="00E57F6C">
            <w:proofErr w:type="spellStart"/>
            <w:r w:rsidRPr="006406DD">
              <w:t>Th</w:t>
            </w:r>
            <w:proofErr w:type="spellEnd"/>
            <w:r w:rsidRPr="006406DD">
              <w:t xml:space="preserve"> Oct 1</w:t>
            </w:r>
          </w:p>
        </w:tc>
        <w:tc>
          <w:tcPr>
            <w:tcW w:w="990" w:type="dxa"/>
          </w:tcPr>
          <w:p w14:paraId="6865B1CF" w14:textId="77777777" w:rsidR="0053232A" w:rsidRPr="006406DD" w:rsidRDefault="0053232A" w:rsidP="00E57F6C">
            <w:r>
              <w:t>D</w:t>
            </w:r>
          </w:p>
        </w:tc>
        <w:tc>
          <w:tcPr>
            <w:tcW w:w="1710" w:type="dxa"/>
          </w:tcPr>
          <w:p w14:paraId="20634A29" w14:textId="77777777" w:rsidR="0053232A" w:rsidRPr="006406DD" w:rsidRDefault="0053232A" w:rsidP="00E57F6C">
            <w:r>
              <w:t>RD</w:t>
            </w:r>
          </w:p>
        </w:tc>
        <w:tc>
          <w:tcPr>
            <w:tcW w:w="3150" w:type="dxa"/>
          </w:tcPr>
          <w:p w14:paraId="18201EE7" w14:textId="0C311E09" w:rsidR="0007459C" w:rsidRDefault="0007459C" w:rsidP="00E57F6C">
            <w:pPr>
              <w:rPr>
                <w:color w:val="000000"/>
              </w:rPr>
            </w:pPr>
            <w:r>
              <w:rPr>
                <w:color w:val="000000"/>
              </w:rPr>
              <w:t>Applications of RD:</w:t>
            </w:r>
          </w:p>
          <w:p w14:paraId="1C20D951" w14:textId="77777777" w:rsidR="0053232A" w:rsidRPr="006406DD" w:rsidRDefault="0053232A" w:rsidP="00E57F6C">
            <w:proofErr w:type="spellStart"/>
            <w:r>
              <w:rPr>
                <w:color w:val="000000"/>
              </w:rPr>
              <w:t>Gormley</w:t>
            </w:r>
            <w:proofErr w:type="spellEnd"/>
            <w:r>
              <w:rPr>
                <w:color w:val="000000"/>
              </w:rPr>
              <w:t xml:space="preserve"> &amp; Gayer 2005</w:t>
            </w:r>
          </w:p>
        </w:tc>
        <w:tc>
          <w:tcPr>
            <w:tcW w:w="1548" w:type="dxa"/>
          </w:tcPr>
          <w:p w14:paraId="333DCAC6" w14:textId="77777777" w:rsidR="0053232A" w:rsidRPr="006406DD" w:rsidRDefault="0053232A" w:rsidP="00E57F6C"/>
        </w:tc>
      </w:tr>
      <w:tr w:rsidR="0053232A" w:rsidRPr="006406DD" w14:paraId="22AF9D69" w14:textId="77777777" w:rsidTr="00E57F6C">
        <w:tc>
          <w:tcPr>
            <w:tcW w:w="1278" w:type="dxa"/>
          </w:tcPr>
          <w:p w14:paraId="56D57B32" w14:textId="234E4170" w:rsidR="0053232A" w:rsidRPr="006406DD" w:rsidRDefault="0053232A" w:rsidP="00E57F6C">
            <w:proofErr w:type="spellStart"/>
            <w:r w:rsidRPr="006406DD">
              <w:t>Tu</w:t>
            </w:r>
            <w:proofErr w:type="spellEnd"/>
            <w:r w:rsidRPr="006406DD">
              <w:t xml:space="preserve"> Oct 6</w:t>
            </w:r>
          </w:p>
        </w:tc>
        <w:tc>
          <w:tcPr>
            <w:tcW w:w="990" w:type="dxa"/>
          </w:tcPr>
          <w:p w14:paraId="56E422A7" w14:textId="77777777" w:rsidR="0053232A" w:rsidRPr="006406DD" w:rsidRDefault="0053232A" w:rsidP="00E57F6C">
            <w:r>
              <w:t>L</w:t>
            </w:r>
          </w:p>
        </w:tc>
        <w:tc>
          <w:tcPr>
            <w:tcW w:w="1710" w:type="dxa"/>
          </w:tcPr>
          <w:p w14:paraId="09123351" w14:textId="77777777" w:rsidR="0053232A" w:rsidRPr="006406DD" w:rsidRDefault="0053232A" w:rsidP="00E57F6C">
            <w:r>
              <w:t>DD / CITS</w:t>
            </w:r>
          </w:p>
        </w:tc>
        <w:tc>
          <w:tcPr>
            <w:tcW w:w="3150" w:type="dxa"/>
          </w:tcPr>
          <w:p w14:paraId="1A476B51" w14:textId="77777777" w:rsidR="0053232A" w:rsidRPr="007059C9" w:rsidRDefault="0053232A" w:rsidP="00E57F6C">
            <w:proofErr w:type="spellStart"/>
            <w:r>
              <w:t>Angrist</w:t>
            </w:r>
            <w:proofErr w:type="spellEnd"/>
            <w:r>
              <w:t xml:space="preserve"> &amp; </w:t>
            </w:r>
            <w:proofErr w:type="spellStart"/>
            <w:r>
              <w:t>Pishke</w:t>
            </w:r>
            <w:proofErr w:type="spellEnd"/>
            <w:r>
              <w:t xml:space="preserve"> 2009, chapter </w:t>
            </w:r>
            <w:r w:rsidRPr="007059C9">
              <w:t>5</w:t>
            </w:r>
          </w:p>
          <w:p w14:paraId="183C1D8B" w14:textId="77777777" w:rsidR="0053232A" w:rsidRDefault="0053232A" w:rsidP="00E57F6C">
            <w:r>
              <w:t>SCC, chapter 6</w:t>
            </w:r>
          </w:p>
          <w:p w14:paraId="40ECC171" w14:textId="554615B1" w:rsidR="00657FC9" w:rsidRPr="006406DD" w:rsidRDefault="00657FC9" w:rsidP="00E57F6C">
            <w:r w:rsidRPr="00BA2E7A">
              <w:rPr>
                <w:highlight w:val="yellow"/>
              </w:rPr>
              <w:t>St. Clair &amp; Cook 2015</w:t>
            </w:r>
          </w:p>
        </w:tc>
        <w:tc>
          <w:tcPr>
            <w:tcW w:w="1548" w:type="dxa"/>
          </w:tcPr>
          <w:p w14:paraId="55C5DCAC" w14:textId="77777777" w:rsidR="0053232A" w:rsidRPr="006406DD" w:rsidRDefault="0053232A" w:rsidP="00E57F6C"/>
        </w:tc>
      </w:tr>
      <w:tr w:rsidR="0053232A" w:rsidRPr="006406DD" w14:paraId="41FC8A4F" w14:textId="77777777" w:rsidTr="00E57F6C">
        <w:tc>
          <w:tcPr>
            <w:tcW w:w="1278" w:type="dxa"/>
          </w:tcPr>
          <w:p w14:paraId="46368056" w14:textId="77777777" w:rsidR="0053232A" w:rsidRPr="006406DD" w:rsidRDefault="0053232A" w:rsidP="00E57F6C">
            <w:proofErr w:type="spellStart"/>
            <w:r w:rsidRPr="006406DD">
              <w:t>Th</w:t>
            </w:r>
            <w:proofErr w:type="spellEnd"/>
            <w:r w:rsidRPr="006406DD">
              <w:t xml:space="preserve"> Oct 8</w:t>
            </w:r>
          </w:p>
        </w:tc>
        <w:tc>
          <w:tcPr>
            <w:tcW w:w="990" w:type="dxa"/>
          </w:tcPr>
          <w:p w14:paraId="33E6501D" w14:textId="77777777" w:rsidR="0053232A" w:rsidRPr="006406DD" w:rsidRDefault="0053232A" w:rsidP="00E57F6C">
            <w:r>
              <w:t>D</w:t>
            </w:r>
          </w:p>
        </w:tc>
        <w:tc>
          <w:tcPr>
            <w:tcW w:w="1710" w:type="dxa"/>
          </w:tcPr>
          <w:p w14:paraId="259C3F74" w14:textId="77777777" w:rsidR="0053232A" w:rsidRPr="006406DD" w:rsidRDefault="0053232A" w:rsidP="00E57F6C">
            <w:r>
              <w:t>DD / CITS</w:t>
            </w:r>
          </w:p>
        </w:tc>
        <w:tc>
          <w:tcPr>
            <w:tcW w:w="3150" w:type="dxa"/>
          </w:tcPr>
          <w:p w14:paraId="1973F911" w14:textId="34191DEB" w:rsidR="0007459C" w:rsidRDefault="0007459C" w:rsidP="00E57F6C">
            <w:r>
              <w:t>Applications of DD:</w:t>
            </w:r>
          </w:p>
          <w:p w14:paraId="763B1396" w14:textId="77777777" w:rsidR="0053232A" w:rsidRDefault="0053232A" w:rsidP="00E57F6C">
            <w:r>
              <w:t>Card &amp; Krueger 1994</w:t>
            </w:r>
            <w:r w:rsidRPr="007059C9">
              <w:t xml:space="preserve"> </w:t>
            </w:r>
          </w:p>
          <w:p w14:paraId="5A954FB7" w14:textId="511FD484" w:rsidR="0053232A" w:rsidRPr="00E836FF" w:rsidRDefault="0053232A" w:rsidP="00E57F6C">
            <w:r>
              <w:t>Cheng &amp; Hoekstra 2013</w:t>
            </w:r>
          </w:p>
        </w:tc>
        <w:tc>
          <w:tcPr>
            <w:tcW w:w="1548" w:type="dxa"/>
          </w:tcPr>
          <w:p w14:paraId="2D200F6D" w14:textId="77777777" w:rsidR="0053232A" w:rsidRPr="006406DD" w:rsidRDefault="0053232A" w:rsidP="00E57F6C"/>
        </w:tc>
      </w:tr>
      <w:tr w:rsidR="0053232A" w:rsidRPr="006406DD" w14:paraId="35931352" w14:textId="77777777" w:rsidTr="00E57F6C">
        <w:tc>
          <w:tcPr>
            <w:tcW w:w="1278" w:type="dxa"/>
          </w:tcPr>
          <w:p w14:paraId="1052DE01" w14:textId="77777777" w:rsidR="0053232A" w:rsidRPr="006406DD" w:rsidRDefault="0053232A" w:rsidP="00E57F6C">
            <w:proofErr w:type="spellStart"/>
            <w:r w:rsidRPr="006406DD">
              <w:t>Tu</w:t>
            </w:r>
            <w:proofErr w:type="spellEnd"/>
            <w:r w:rsidRPr="006406DD">
              <w:t xml:space="preserve"> Oct 13</w:t>
            </w:r>
          </w:p>
        </w:tc>
        <w:tc>
          <w:tcPr>
            <w:tcW w:w="990" w:type="dxa"/>
          </w:tcPr>
          <w:p w14:paraId="561B9604" w14:textId="3CBD5482" w:rsidR="0053232A" w:rsidRPr="006406DD" w:rsidRDefault="004556AF" w:rsidP="00E57F6C">
            <w:r>
              <w:t>L</w:t>
            </w:r>
          </w:p>
        </w:tc>
        <w:tc>
          <w:tcPr>
            <w:tcW w:w="1710" w:type="dxa"/>
          </w:tcPr>
          <w:p w14:paraId="7B57067E" w14:textId="4406321D" w:rsidR="0053232A" w:rsidRPr="006406DD" w:rsidRDefault="004556AF" w:rsidP="00E57F6C">
            <w:r>
              <w:t>CITS/FE/RE</w:t>
            </w:r>
          </w:p>
        </w:tc>
        <w:tc>
          <w:tcPr>
            <w:tcW w:w="3150" w:type="dxa"/>
          </w:tcPr>
          <w:p w14:paraId="3D2DA033" w14:textId="77777777" w:rsidR="004556AF" w:rsidRDefault="004556AF" w:rsidP="004556AF">
            <w:pPr>
              <w:widowControl w:val="0"/>
              <w:autoSpaceDE w:val="0"/>
              <w:autoSpaceDN w:val="0"/>
              <w:adjustRightInd w:val="0"/>
              <w:rPr>
                <w:rFonts w:cs="Times"/>
              </w:rPr>
            </w:pPr>
            <w:proofErr w:type="spellStart"/>
            <w:r>
              <w:rPr>
                <w:rFonts w:cs="Times"/>
              </w:rPr>
              <w:t>Angrist</w:t>
            </w:r>
            <w:proofErr w:type="spellEnd"/>
            <w:r>
              <w:rPr>
                <w:rFonts w:cs="Times"/>
              </w:rPr>
              <w:t xml:space="preserve"> &amp; </w:t>
            </w:r>
            <w:proofErr w:type="spellStart"/>
            <w:r>
              <w:rPr>
                <w:rFonts w:cs="Times"/>
              </w:rPr>
              <w:t>Pishke</w:t>
            </w:r>
            <w:proofErr w:type="spellEnd"/>
            <w:r>
              <w:rPr>
                <w:rFonts w:cs="Times"/>
              </w:rPr>
              <w:t>, chapter 5</w:t>
            </w:r>
          </w:p>
          <w:p w14:paraId="54A11751" w14:textId="1A6795FA" w:rsidR="0053232A" w:rsidRPr="006406DD" w:rsidRDefault="004556AF" w:rsidP="004556AF">
            <w:r>
              <w:rPr>
                <w:rFonts w:cs="Times"/>
              </w:rPr>
              <w:t>Wooldridge 2003, chapter 14</w:t>
            </w:r>
          </w:p>
        </w:tc>
        <w:tc>
          <w:tcPr>
            <w:tcW w:w="1548" w:type="dxa"/>
          </w:tcPr>
          <w:p w14:paraId="43086EE5" w14:textId="77777777" w:rsidR="0053232A" w:rsidRPr="006406DD" w:rsidRDefault="0053232A" w:rsidP="00E57F6C"/>
        </w:tc>
      </w:tr>
      <w:tr w:rsidR="0053232A" w:rsidRPr="006406DD" w14:paraId="11E5CBA7" w14:textId="77777777" w:rsidTr="00E57F6C">
        <w:tc>
          <w:tcPr>
            <w:tcW w:w="1278" w:type="dxa"/>
          </w:tcPr>
          <w:p w14:paraId="6658F93E" w14:textId="77777777" w:rsidR="0053232A" w:rsidRPr="006406DD" w:rsidRDefault="0053232A" w:rsidP="00E57F6C">
            <w:proofErr w:type="spellStart"/>
            <w:r>
              <w:t>Th</w:t>
            </w:r>
            <w:proofErr w:type="spellEnd"/>
            <w:r>
              <w:t xml:space="preserve"> Oct 15</w:t>
            </w:r>
          </w:p>
        </w:tc>
        <w:tc>
          <w:tcPr>
            <w:tcW w:w="7398" w:type="dxa"/>
            <w:gridSpan w:val="4"/>
          </w:tcPr>
          <w:p w14:paraId="7E5EB229" w14:textId="77777777" w:rsidR="0053232A" w:rsidRPr="006406DD" w:rsidRDefault="0053232A" w:rsidP="00E57F6C">
            <w:pPr>
              <w:jc w:val="center"/>
            </w:pPr>
            <w:r>
              <w:t>No Class – Fall Break</w:t>
            </w:r>
          </w:p>
        </w:tc>
      </w:tr>
      <w:tr w:rsidR="0053232A" w:rsidRPr="006406DD" w14:paraId="250362EE" w14:textId="77777777" w:rsidTr="00E57F6C">
        <w:tc>
          <w:tcPr>
            <w:tcW w:w="1278" w:type="dxa"/>
          </w:tcPr>
          <w:p w14:paraId="37C289C7" w14:textId="77777777" w:rsidR="0053232A" w:rsidRPr="006406DD" w:rsidRDefault="0053232A" w:rsidP="00E57F6C">
            <w:proofErr w:type="spellStart"/>
            <w:r w:rsidRPr="006406DD">
              <w:t>Tu</w:t>
            </w:r>
            <w:proofErr w:type="spellEnd"/>
            <w:r w:rsidRPr="006406DD">
              <w:t xml:space="preserve"> Oct 20</w:t>
            </w:r>
          </w:p>
        </w:tc>
        <w:tc>
          <w:tcPr>
            <w:tcW w:w="990" w:type="dxa"/>
          </w:tcPr>
          <w:p w14:paraId="3D2C7567" w14:textId="05E59B5E" w:rsidR="0053232A" w:rsidRPr="006406DD" w:rsidRDefault="004556AF" w:rsidP="00E57F6C">
            <w:r>
              <w:t>D</w:t>
            </w:r>
          </w:p>
        </w:tc>
        <w:tc>
          <w:tcPr>
            <w:tcW w:w="1710" w:type="dxa"/>
          </w:tcPr>
          <w:p w14:paraId="6DA0CFA6" w14:textId="77777777" w:rsidR="0053232A" w:rsidRPr="006406DD" w:rsidRDefault="0053232A" w:rsidP="00E57F6C">
            <w:r>
              <w:t>FE</w:t>
            </w:r>
          </w:p>
        </w:tc>
        <w:tc>
          <w:tcPr>
            <w:tcW w:w="3150" w:type="dxa"/>
          </w:tcPr>
          <w:p w14:paraId="77BC3D79" w14:textId="33B2E1D6" w:rsidR="004556AF" w:rsidRDefault="004556AF" w:rsidP="004556AF">
            <w:r>
              <w:t>Applications of FE / CITS:</w:t>
            </w:r>
          </w:p>
          <w:p w14:paraId="0B8F543B" w14:textId="77777777" w:rsidR="004556AF" w:rsidRDefault="004556AF" w:rsidP="004556AF">
            <w:proofErr w:type="spellStart"/>
            <w:r>
              <w:t>Budig</w:t>
            </w:r>
            <w:proofErr w:type="spellEnd"/>
            <w:r>
              <w:t xml:space="preserve"> &amp; England </w:t>
            </w:r>
            <w:r w:rsidRPr="007059C9">
              <w:t>2001</w:t>
            </w:r>
          </w:p>
          <w:p w14:paraId="5371DCF9" w14:textId="149F05EC" w:rsidR="0053232A" w:rsidRPr="00DF2AA7" w:rsidRDefault="004556AF" w:rsidP="004556AF">
            <w:pPr>
              <w:widowControl w:val="0"/>
              <w:autoSpaceDE w:val="0"/>
              <w:autoSpaceDN w:val="0"/>
              <w:adjustRightInd w:val="0"/>
              <w:rPr>
                <w:rFonts w:cs="Times"/>
              </w:rPr>
            </w:pPr>
            <w:r w:rsidRPr="00657FC9">
              <w:rPr>
                <w:highlight w:val="yellow"/>
              </w:rPr>
              <w:t xml:space="preserve">Also – Dee &amp; Jacob </w:t>
            </w:r>
            <w:r>
              <w:rPr>
                <w:highlight w:val="yellow"/>
              </w:rPr>
              <w:t xml:space="preserve">2011 NCLB </w:t>
            </w:r>
            <w:r w:rsidRPr="00657FC9">
              <w:rPr>
                <w:highlight w:val="yellow"/>
              </w:rPr>
              <w:t>CITS paper</w:t>
            </w:r>
          </w:p>
        </w:tc>
        <w:tc>
          <w:tcPr>
            <w:tcW w:w="1548" w:type="dxa"/>
          </w:tcPr>
          <w:p w14:paraId="52370D3B" w14:textId="77777777" w:rsidR="0053232A" w:rsidRPr="006406DD" w:rsidRDefault="0053232A" w:rsidP="00E57F6C"/>
        </w:tc>
      </w:tr>
      <w:tr w:rsidR="0053232A" w:rsidRPr="006406DD" w14:paraId="6FEDB9F1" w14:textId="77777777" w:rsidTr="00E57F6C">
        <w:tc>
          <w:tcPr>
            <w:tcW w:w="1278" w:type="dxa"/>
          </w:tcPr>
          <w:p w14:paraId="0DF71DC7" w14:textId="77777777" w:rsidR="0053232A" w:rsidRPr="006406DD" w:rsidRDefault="0053232A" w:rsidP="00E57F6C">
            <w:proofErr w:type="spellStart"/>
            <w:r w:rsidRPr="006406DD">
              <w:t>Th</w:t>
            </w:r>
            <w:proofErr w:type="spellEnd"/>
            <w:r w:rsidRPr="006406DD">
              <w:t xml:space="preserve"> Oct 22</w:t>
            </w:r>
          </w:p>
        </w:tc>
        <w:tc>
          <w:tcPr>
            <w:tcW w:w="990" w:type="dxa"/>
          </w:tcPr>
          <w:p w14:paraId="5C3E228C" w14:textId="2B33F5D2" w:rsidR="0053232A" w:rsidRPr="006406DD" w:rsidRDefault="0053232A" w:rsidP="00E57F6C"/>
        </w:tc>
        <w:tc>
          <w:tcPr>
            <w:tcW w:w="1710" w:type="dxa"/>
          </w:tcPr>
          <w:p w14:paraId="56C04B18" w14:textId="708EA3EF" w:rsidR="0053232A" w:rsidRPr="006406DD" w:rsidRDefault="0053232A" w:rsidP="00E57F6C"/>
        </w:tc>
        <w:tc>
          <w:tcPr>
            <w:tcW w:w="3150" w:type="dxa"/>
          </w:tcPr>
          <w:p w14:paraId="2A0DC9B0" w14:textId="036A45A5" w:rsidR="00657FC9" w:rsidRPr="006406DD" w:rsidRDefault="004556AF" w:rsidP="00E57F6C">
            <w:r>
              <w:t>Class Cancelled</w:t>
            </w:r>
          </w:p>
        </w:tc>
        <w:tc>
          <w:tcPr>
            <w:tcW w:w="1548" w:type="dxa"/>
          </w:tcPr>
          <w:p w14:paraId="6DFF22FA" w14:textId="77777777" w:rsidR="0053232A" w:rsidRPr="006406DD" w:rsidRDefault="0053232A" w:rsidP="00E57F6C"/>
        </w:tc>
      </w:tr>
      <w:tr w:rsidR="0053232A" w:rsidRPr="006406DD" w14:paraId="599223A4" w14:textId="77777777" w:rsidTr="00E57F6C">
        <w:tc>
          <w:tcPr>
            <w:tcW w:w="1278" w:type="dxa"/>
          </w:tcPr>
          <w:p w14:paraId="0E034CC3" w14:textId="315790A1" w:rsidR="0053232A" w:rsidRPr="006406DD" w:rsidRDefault="0053232A" w:rsidP="00E57F6C">
            <w:proofErr w:type="spellStart"/>
            <w:r w:rsidRPr="006406DD">
              <w:t>Tu</w:t>
            </w:r>
            <w:proofErr w:type="spellEnd"/>
            <w:r w:rsidRPr="006406DD">
              <w:t xml:space="preserve"> Oct 27</w:t>
            </w:r>
          </w:p>
        </w:tc>
        <w:tc>
          <w:tcPr>
            <w:tcW w:w="990" w:type="dxa"/>
          </w:tcPr>
          <w:p w14:paraId="2FA49235" w14:textId="77777777" w:rsidR="0053232A" w:rsidRPr="006406DD" w:rsidRDefault="0053232A" w:rsidP="00E57F6C">
            <w:r>
              <w:t>L</w:t>
            </w:r>
          </w:p>
        </w:tc>
        <w:tc>
          <w:tcPr>
            <w:tcW w:w="1710" w:type="dxa"/>
          </w:tcPr>
          <w:p w14:paraId="5789CC07" w14:textId="77777777" w:rsidR="0053232A" w:rsidRPr="006406DD" w:rsidRDefault="0053232A" w:rsidP="00E57F6C">
            <w:r>
              <w:t>PSM</w:t>
            </w:r>
          </w:p>
        </w:tc>
        <w:tc>
          <w:tcPr>
            <w:tcW w:w="3150" w:type="dxa"/>
          </w:tcPr>
          <w:p w14:paraId="5C64FB0A" w14:textId="77777777" w:rsidR="0053232A" w:rsidRPr="007059C9" w:rsidRDefault="0053232A" w:rsidP="00E57F6C">
            <w:r>
              <w:t>MW, chapter</w:t>
            </w:r>
            <w:r w:rsidRPr="007059C9">
              <w:t xml:space="preserve"> 12</w:t>
            </w:r>
          </w:p>
          <w:p w14:paraId="28FF87F3" w14:textId="77777777" w:rsidR="0053232A" w:rsidRPr="006406DD" w:rsidRDefault="0053232A" w:rsidP="00E57F6C">
            <w:r w:rsidRPr="007059C9">
              <w:t>Rosenbaum &amp; Rubin</w:t>
            </w:r>
            <w:r>
              <w:t xml:space="preserve"> </w:t>
            </w:r>
            <w:r w:rsidRPr="007059C9">
              <w:t>1983</w:t>
            </w:r>
          </w:p>
        </w:tc>
        <w:tc>
          <w:tcPr>
            <w:tcW w:w="1548" w:type="dxa"/>
          </w:tcPr>
          <w:p w14:paraId="6E0F3C88" w14:textId="77777777" w:rsidR="0053232A" w:rsidRPr="006406DD" w:rsidRDefault="0053232A" w:rsidP="00E57F6C"/>
        </w:tc>
      </w:tr>
      <w:tr w:rsidR="0053232A" w:rsidRPr="006406DD" w14:paraId="1005B8BE" w14:textId="77777777" w:rsidTr="00E57F6C">
        <w:tc>
          <w:tcPr>
            <w:tcW w:w="1278" w:type="dxa"/>
          </w:tcPr>
          <w:p w14:paraId="566E3CB1" w14:textId="77777777" w:rsidR="0053232A" w:rsidRPr="006406DD" w:rsidRDefault="0053232A" w:rsidP="00E57F6C">
            <w:proofErr w:type="spellStart"/>
            <w:r w:rsidRPr="006406DD">
              <w:t>Th</w:t>
            </w:r>
            <w:proofErr w:type="spellEnd"/>
            <w:r w:rsidRPr="006406DD">
              <w:t xml:space="preserve"> Oct 29</w:t>
            </w:r>
          </w:p>
        </w:tc>
        <w:tc>
          <w:tcPr>
            <w:tcW w:w="990" w:type="dxa"/>
          </w:tcPr>
          <w:p w14:paraId="5E1B44A4" w14:textId="77777777" w:rsidR="0053232A" w:rsidRPr="006406DD" w:rsidRDefault="0053232A" w:rsidP="00E57F6C">
            <w:r>
              <w:t>D</w:t>
            </w:r>
          </w:p>
        </w:tc>
        <w:tc>
          <w:tcPr>
            <w:tcW w:w="1710" w:type="dxa"/>
          </w:tcPr>
          <w:p w14:paraId="57252876" w14:textId="77777777" w:rsidR="0053232A" w:rsidRPr="006406DD" w:rsidRDefault="0053232A" w:rsidP="00E57F6C">
            <w:r>
              <w:t>PSM</w:t>
            </w:r>
          </w:p>
        </w:tc>
        <w:tc>
          <w:tcPr>
            <w:tcW w:w="3150" w:type="dxa"/>
          </w:tcPr>
          <w:p w14:paraId="07543F51" w14:textId="535A0986" w:rsidR="0007459C" w:rsidRDefault="0007459C" w:rsidP="00E57F6C">
            <w:r>
              <w:t xml:space="preserve">Applications of PSM: </w:t>
            </w:r>
          </w:p>
          <w:p w14:paraId="587D73A7" w14:textId="77777777" w:rsidR="0053232A" w:rsidRDefault="00657FC9" w:rsidP="00E57F6C">
            <w:pPr>
              <w:rPr>
                <w:rFonts w:cs="Times New Roman"/>
              </w:rPr>
            </w:pPr>
            <w:r w:rsidRPr="00657FC9">
              <w:rPr>
                <w:rFonts w:cs="Times New Roman"/>
                <w:highlight w:val="yellow"/>
              </w:rPr>
              <w:t>Gunter &amp; Daly 2012</w:t>
            </w:r>
          </w:p>
          <w:p w14:paraId="0096A937" w14:textId="77777777" w:rsidR="00657FC9" w:rsidRDefault="00657FC9" w:rsidP="00E57F6C">
            <w:pPr>
              <w:rPr>
                <w:rFonts w:cs="Times New Roman"/>
              </w:rPr>
            </w:pPr>
            <w:r>
              <w:rPr>
                <w:rFonts w:cs="Times New Roman"/>
              </w:rPr>
              <w:t xml:space="preserve">Also: </w:t>
            </w:r>
          </w:p>
          <w:p w14:paraId="2F57AA9C" w14:textId="56C32A57" w:rsidR="00657FC9" w:rsidRPr="006406DD" w:rsidRDefault="00657FC9" w:rsidP="00E57F6C">
            <w:r w:rsidRPr="00657FC9">
              <w:rPr>
                <w:rFonts w:cs="Times New Roman"/>
                <w:highlight w:val="yellow"/>
              </w:rPr>
              <w:t>Ito 2014 DD paper</w:t>
            </w:r>
          </w:p>
        </w:tc>
        <w:tc>
          <w:tcPr>
            <w:tcW w:w="1548" w:type="dxa"/>
          </w:tcPr>
          <w:p w14:paraId="5138EDC0" w14:textId="77777777" w:rsidR="0053232A" w:rsidRPr="006406DD" w:rsidRDefault="0053232A" w:rsidP="00E57F6C"/>
        </w:tc>
      </w:tr>
      <w:tr w:rsidR="0053232A" w:rsidRPr="006406DD" w14:paraId="7EFE44A3" w14:textId="77777777" w:rsidTr="00E57F6C">
        <w:tc>
          <w:tcPr>
            <w:tcW w:w="1278" w:type="dxa"/>
          </w:tcPr>
          <w:p w14:paraId="468D0A45" w14:textId="2EE65E7A" w:rsidR="0053232A" w:rsidRPr="006406DD" w:rsidRDefault="0053232A" w:rsidP="00E57F6C">
            <w:proofErr w:type="spellStart"/>
            <w:r w:rsidRPr="006406DD">
              <w:t>Tu</w:t>
            </w:r>
            <w:proofErr w:type="spellEnd"/>
            <w:r w:rsidRPr="006406DD">
              <w:t xml:space="preserve"> Nov 3</w:t>
            </w:r>
          </w:p>
        </w:tc>
        <w:tc>
          <w:tcPr>
            <w:tcW w:w="990" w:type="dxa"/>
          </w:tcPr>
          <w:p w14:paraId="2BCFCA37" w14:textId="77777777" w:rsidR="0053232A" w:rsidRPr="006406DD" w:rsidRDefault="0053232A" w:rsidP="00E57F6C">
            <w:r>
              <w:t>L</w:t>
            </w:r>
          </w:p>
        </w:tc>
        <w:tc>
          <w:tcPr>
            <w:tcW w:w="1710" w:type="dxa"/>
          </w:tcPr>
          <w:p w14:paraId="5D8D6EF4" w14:textId="77777777" w:rsidR="0053232A" w:rsidRPr="006406DD" w:rsidRDefault="0053232A" w:rsidP="00E57F6C">
            <w:r>
              <w:t>Within-study comparisons</w:t>
            </w:r>
          </w:p>
        </w:tc>
        <w:tc>
          <w:tcPr>
            <w:tcW w:w="3150" w:type="dxa"/>
          </w:tcPr>
          <w:p w14:paraId="15E671B7" w14:textId="77777777" w:rsidR="0053232A" w:rsidRDefault="0053232A" w:rsidP="00E57F6C">
            <w:pPr>
              <w:rPr>
                <w:color w:val="000000"/>
              </w:rPr>
            </w:pPr>
            <w:r>
              <w:rPr>
                <w:color w:val="000000"/>
              </w:rPr>
              <w:t>Cook, Shadish &amp; Wong 2008</w:t>
            </w:r>
          </w:p>
          <w:p w14:paraId="36D0D53D" w14:textId="77777777" w:rsidR="0053232A" w:rsidRDefault="0053232A" w:rsidP="00E57F6C">
            <w:pPr>
              <w:rPr>
                <w:color w:val="000000"/>
              </w:rPr>
            </w:pPr>
            <w:r>
              <w:rPr>
                <w:color w:val="000000"/>
              </w:rPr>
              <w:t>Lauen et al IES Proposal</w:t>
            </w:r>
          </w:p>
          <w:p w14:paraId="44A5429C" w14:textId="0491593C" w:rsidR="00BA2E7A" w:rsidRPr="006406DD" w:rsidRDefault="00BA2E7A" w:rsidP="00E57F6C">
            <w:r w:rsidRPr="00BA2E7A">
              <w:rPr>
                <w:color w:val="000000"/>
                <w:highlight w:val="yellow"/>
              </w:rPr>
              <w:t xml:space="preserve">St. Clair, Cook, </w:t>
            </w:r>
            <w:proofErr w:type="spellStart"/>
            <w:r w:rsidRPr="00BA2E7A">
              <w:rPr>
                <w:color w:val="000000"/>
                <w:highlight w:val="yellow"/>
              </w:rPr>
              <w:t>Hallberg</w:t>
            </w:r>
            <w:proofErr w:type="spellEnd"/>
            <w:r w:rsidRPr="00BA2E7A">
              <w:rPr>
                <w:color w:val="000000"/>
                <w:highlight w:val="yellow"/>
              </w:rPr>
              <w:t xml:space="preserve"> 2014</w:t>
            </w:r>
          </w:p>
        </w:tc>
        <w:tc>
          <w:tcPr>
            <w:tcW w:w="1548" w:type="dxa"/>
          </w:tcPr>
          <w:p w14:paraId="12F93F4E" w14:textId="23E84684" w:rsidR="0053232A" w:rsidRPr="006406DD" w:rsidRDefault="00EF458B" w:rsidP="00E57F6C">
            <w:r>
              <w:t>Research Design #1</w:t>
            </w:r>
          </w:p>
        </w:tc>
      </w:tr>
      <w:tr w:rsidR="0053232A" w:rsidRPr="006406DD" w14:paraId="4ED455A6" w14:textId="77777777" w:rsidTr="00E57F6C">
        <w:tc>
          <w:tcPr>
            <w:tcW w:w="1278" w:type="dxa"/>
          </w:tcPr>
          <w:p w14:paraId="7B9C0EFB" w14:textId="77777777" w:rsidR="0053232A" w:rsidRPr="006406DD" w:rsidRDefault="0053232A" w:rsidP="00E57F6C">
            <w:proofErr w:type="spellStart"/>
            <w:r w:rsidRPr="006406DD">
              <w:t>Th</w:t>
            </w:r>
            <w:proofErr w:type="spellEnd"/>
            <w:r w:rsidRPr="006406DD">
              <w:t xml:space="preserve"> Nov 5</w:t>
            </w:r>
          </w:p>
        </w:tc>
        <w:tc>
          <w:tcPr>
            <w:tcW w:w="990" w:type="dxa"/>
          </w:tcPr>
          <w:p w14:paraId="2CF7B76F" w14:textId="77777777" w:rsidR="0053232A" w:rsidRPr="006406DD" w:rsidRDefault="0053232A" w:rsidP="00E57F6C">
            <w:r>
              <w:t>D</w:t>
            </w:r>
          </w:p>
        </w:tc>
        <w:tc>
          <w:tcPr>
            <w:tcW w:w="1710" w:type="dxa"/>
          </w:tcPr>
          <w:p w14:paraId="3644E7BB" w14:textId="77777777" w:rsidR="0053232A" w:rsidRPr="006406DD" w:rsidRDefault="0053232A" w:rsidP="00E57F6C">
            <w:r>
              <w:t>Pros and cons of designs</w:t>
            </w:r>
          </w:p>
        </w:tc>
        <w:tc>
          <w:tcPr>
            <w:tcW w:w="3150" w:type="dxa"/>
          </w:tcPr>
          <w:p w14:paraId="0C7AB293" w14:textId="77777777" w:rsidR="0053232A" w:rsidRPr="006406DD" w:rsidRDefault="0053232A" w:rsidP="00E57F6C">
            <w:r>
              <w:t>TBA</w:t>
            </w:r>
          </w:p>
        </w:tc>
        <w:tc>
          <w:tcPr>
            <w:tcW w:w="1548" w:type="dxa"/>
          </w:tcPr>
          <w:p w14:paraId="5A21695F" w14:textId="77777777" w:rsidR="0053232A" w:rsidRPr="006406DD" w:rsidRDefault="0053232A" w:rsidP="00E57F6C"/>
        </w:tc>
      </w:tr>
      <w:tr w:rsidR="0053232A" w:rsidRPr="006406DD" w14:paraId="1DFB6A54" w14:textId="77777777" w:rsidTr="00E57F6C">
        <w:tc>
          <w:tcPr>
            <w:tcW w:w="1278" w:type="dxa"/>
          </w:tcPr>
          <w:p w14:paraId="42E6AFF9" w14:textId="77777777" w:rsidR="0053232A" w:rsidRPr="006406DD" w:rsidRDefault="0053232A" w:rsidP="00E57F6C">
            <w:proofErr w:type="spellStart"/>
            <w:r w:rsidRPr="006406DD">
              <w:t>Tu</w:t>
            </w:r>
            <w:proofErr w:type="spellEnd"/>
            <w:r w:rsidRPr="006406DD">
              <w:t xml:space="preserve"> Nov 10</w:t>
            </w:r>
          </w:p>
        </w:tc>
        <w:tc>
          <w:tcPr>
            <w:tcW w:w="990" w:type="dxa"/>
          </w:tcPr>
          <w:p w14:paraId="26F9C82A" w14:textId="77777777" w:rsidR="0053232A" w:rsidRPr="006406DD" w:rsidRDefault="0053232A" w:rsidP="00E57F6C">
            <w:r>
              <w:t>D</w:t>
            </w:r>
          </w:p>
        </w:tc>
        <w:tc>
          <w:tcPr>
            <w:tcW w:w="1710" w:type="dxa"/>
          </w:tcPr>
          <w:p w14:paraId="5780AB87" w14:textId="77777777" w:rsidR="0053232A" w:rsidRPr="006406DD" w:rsidRDefault="0053232A" w:rsidP="00E57F6C">
            <w:r>
              <w:t>Constructive critique</w:t>
            </w:r>
          </w:p>
        </w:tc>
        <w:tc>
          <w:tcPr>
            <w:tcW w:w="3150" w:type="dxa"/>
          </w:tcPr>
          <w:p w14:paraId="7E4143B0" w14:textId="77777777" w:rsidR="0053232A" w:rsidRPr="006406DD" w:rsidRDefault="0053232A" w:rsidP="00E57F6C">
            <w:r>
              <w:t>TBA</w:t>
            </w:r>
          </w:p>
        </w:tc>
        <w:tc>
          <w:tcPr>
            <w:tcW w:w="1548" w:type="dxa"/>
          </w:tcPr>
          <w:p w14:paraId="28CEBB7D" w14:textId="77777777" w:rsidR="0053232A" w:rsidRPr="006406DD" w:rsidRDefault="0053232A" w:rsidP="00E57F6C"/>
        </w:tc>
      </w:tr>
      <w:tr w:rsidR="0053232A" w:rsidRPr="006406DD" w14:paraId="2C9AF0C8" w14:textId="77777777" w:rsidTr="00E57F6C">
        <w:tc>
          <w:tcPr>
            <w:tcW w:w="1278" w:type="dxa"/>
          </w:tcPr>
          <w:p w14:paraId="512AC9AB" w14:textId="77777777" w:rsidR="0053232A" w:rsidRPr="006406DD" w:rsidRDefault="0053232A" w:rsidP="00E57F6C">
            <w:proofErr w:type="spellStart"/>
            <w:r w:rsidRPr="006406DD">
              <w:t>Th</w:t>
            </w:r>
            <w:proofErr w:type="spellEnd"/>
            <w:r w:rsidRPr="006406DD">
              <w:t xml:space="preserve"> Nov 12</w:t>
            </w:r>
          </w:p>
        </w:tc>
        <w:tc>
          <w:tcPr>
            <w:tcW w:w="990" w:type="dxa"/>
          </w:tcPr>
          <w:p w14:paraId="718784F4" w14:textId="36BD3EBF" w:rsidR="0053232A" w:rsidRPr="006406DD" w:rsidRDefault="0053232A" w:rsidP="00E57F6C"/>
        </w:tc>
        <w:tc>
          <w:tcPr>
            <w:tcW w:w="1710" w:type="dxa"/>
          </w:tcPr>
          <w:p w14:paraId="77046AB1" w14:textId="24CBBA77" w:rsidR="0053232A" w:rsidRPr="006406DD" w:rsidRDefault="0053232A" w:rsidP="00E57F6C"/>
        </w:tc>
        <w:tc>
          <w:tcPr>
            <w:tcW w:w="3150" w:type="dxa"/>
          </w:tcPr>
          <w:p w14:paraId="7F7DF16C" w14:textId="151D0539" w:rsidR="0053232A" w:rsidRPr="006406DD" w:rsidRDefault="004556AF" w:rsidP="00E57F6C">
            <w:r>
              <w:t>Class Cancelled</w:t>
            </w:r>
          </w:p>
        </w:tc>
        <w:tc>
          <w:tcPr>
            <w:tcW w:w="1548" w:type="dxa"/>
          </w:tcPr>
          <w:p w14:paraId="1DA3B672" w14:textId="77777777" w:rsidR="0053232A" w:rsidRPr="006406DD" w:rsidRDefault="0053232A" w:rsidP="00E57F6C"/>
        </w:tc>
      </w:tr>
      <w:tr w:rsidR="0053232A" w:rsidRPr="006406DD" w14:paraId="7DB6C8D7" w14:textId="77777777" w:rsidTr="00E57F6C">
        <w:tc>
          <w:tcPr>
            <w:tcW w:w="1278" w:type="dxa"/>
          </w:tcPr>
          <w:p w14:paraId="4F13F96E" w14:textId="77777777" w:rsidR="0053232A" w:rsidRPr="006406DD" w:rsidRDefault="0053232A" w:rsidP="00E57F6C">
            <w:proofErr w:type="spellStart"/>
            <w:r w:rsidRPr="006406DD">
              <w:t>Tu</w:t>
            </w:r>
            <w:proofErr w:type="spellEnd"/>
            <w:r w:rsidRPr="006406DD">
              <w:t xml:space="preserve"> Nov 17</w:t>
            </w:r>
          </w:p>
        </w:tc>
        <w:tc>
          <w:tcPr>
            <w:tcW w:w="990" w:type="dxa"/>
          </w:tcPr>
          <w:p w14:paraId="4C54C375" w14:textId="77777777" w:rsidR="0053232A" w:rsidRPr="006406DD" w:rsidRDefault="0053232A" w:rsidP="00E57F6C">
            <w:r>
              <w:t>D</w:t>
            </w:r>
          </w:p>
        </w:tc>
        <w:tc>
          <w:tcPr>
            <w:tcW w:w="1710" w:type="dxa"/>
          </w:tcPr>
          <w:p w14:paraId="6ADB38D1" w14:textId="77777777" w:rsidR="0053232A" w:rsidRPr="006406DD" w:rsidRDefault="0053232A" w:rsidP="00E57F6C">
            <w:r>
              <w:t>Student presentations</w:t>
            </w:r>
          </w:p>
        </w:tc>
        <w:tc>
          <w:tcPr>
            <w:tcW w:w="3150" w:type="dxa"/>
          </w:tcPr>
          <w:p w14:paraId="771F978B" w14:textId="3D5B77DA" w:rsidR="0053232A" w:rsidRPr="006406DD" w:rsidRDefault="0053232A" w:rsidP="00E57F6C">
            <w:r>
              <w:t>Student research</w:t>
            </w:r>
            <w:r w:rsidR="00B344B4">
              <w:t xml:space="preserve"> proposal presentations </w:t>
            </w:r>
          </w:p>
        </w:tc>
        <w:tc>
          <w:tcPr>
            <w:tcW w:w="1548" w:type="dxa"/>
          </w:tcPr>
          <w:p w14:paraId="1205A5D0" w14:textId="48C5AD5C" w:rsidR="0053232A" w:rsidRPr="006406DD" w:rsidRDefault="00B344B4" w:rsidP="00E57F6C">
            <w:r>
              <w:t>Research Design #2</w:t>
            </w:r>
          </w:p>
        </w:tc>
      </w:tr>
      <w:tr w:rsidR="0053232A" w:rsidRPr="006406DD" w14:paraId="6E611921" w14:textId="77777777" w:rsidTr="00E57F6C">
        <w:tc>
          <w:tcPr>
            <w:tcW w:w="1278" w:type="dxa"/>
          </w:tcPr>
          <w:p w14:paraId="6843EDB8" w14:textId="77777777" w:rsidR="0053232A" w:rsidRPr="006406DD" w:rsidRDefault="0053232A" w:rsidP="00E57F6C">
            <w:proofErr w:type="spellStart"/>
            <w:r w:rsidRPr="006406DD">
              <w:t>Th</w:t>
            </w:r>
            <w:proofErr w:type="spellEnd"/>
            <w:r w:rsidRPr="006406DD">
              <w:t xml:space="preserve"> Nov 19</w:t>
            </w:r>
          </w:p>
        </w:tc>
        <w:tc>
          <w:tcPr>
            <w:tcW w:w="990" w:type="dxa"/>
          </w:tcPr>
          <w:p w14:paraId="11039160" w14:textId="77777777" w:rsidR="0053232A" w:rsidRPr="006406DD" w:rsidRDefault="0053232A" w:rsidP="00E57F6C">
            <w:r>
              <w:t>D</w:t>
            </w:r>
          </w:p>
        </w:tc>
        <w:tc>
          <w:tcPr>
            <w:tcW w:w="1710" w:type="dxa"/>
          </w:tcPr>
          <w:p w14:paraId="50ECC812" w14:textId="77777777" w:rsidR="0053232A" w:rsidRPr="006406DD" w:rsidRDefault="0053232A" w:rsidP="00E57F6C">
            <w:r>
              <w:t>Student presentations</w:t>
            </w:r>
          </w:p>
        </w:tc>
        <w:tc>
          <w:tcPr>
            <w:tcW w:w="3150" w:type="dxa"/>
          </w:tcPr>
          <w:p w14:paraId="26C43D39" w14:textId="7D0C3717" w:rsidR="0053232A" w:rsidRPr="006406DD" w:rsidRDefault="00B344B4" w:rsidP="00E57F6C">
            <w:r>
              <w:t xml:space="preserve">Student research proposal presentations </w:t>
            </w:r>
          </w:p>
        </w:tc>
        <w:tc>
          <w:tcPr>
            <w:tcW w:w="1548" w:type="dxa"/>
          </w:tcPr>
          <w:p w14:paraId="516D6FA6" w14:textId="294CF2C6" w:rsidR="0053232A" w:rsidRPr="006406DD" w:rsidRDefault="00B344B4" w:rsidP="00E57F6C">
            <w:r>
              <w:t>Research Design #2</w:t>
            </w:r>
          </w:p>
        </w:tc>
      </w:tr>
      <w:tr w:rsidR="0053232A" w:rsidRPr="006406DD" w14:paraId="18710842" w14:textId="77777777" w:rsidTr="00E57F6C">
        <w:tc>
          <w:tcPr>
            <w:tcW w:w="1278" w:type="dxa"/>
          </w:tcPr>
          <w:p w14:paraId="1E0E016C" w14:textId="77777777" w:rsidR="0053232A" w:rsidRPr="006406DD" w:rsidRDefault="0053232A" w:rsidP="00E57F6C">
            <w:proofErr w:type="spellStart"/>
            <w:r w:rsidRPr="006406DD">
              <w:t>Tu</w:t>
            </w:r>
            <w:proofErr w:type="spellEnd"/>
            <w:r w:rsidRPr="006406DD">
              <w:t xml:space="preserve"> Nov 24</w:t>
            </w:r>
          </w:p>
        </w:tc>
        <w:tc>
          <w:tcPr>
            <w:tcW w:w="990" w:type="dxa"/>
          </w:tcPr>
          <w:p w14:paraId="1A595E95" w14:textId="77777777" w:rsidR="0053232A" w:rsidRPr="006406DD" w:rsidRDefault="0053232A" w:rsidP="00E57F6C">
            <w:r>
              <w:t>D</w:t>
            </w:r>
          </w:p>
        </w:tc>
        <w:tc>
          <w:tcPr>
            <w:tcW w:w="1710" w:type="dxa"/>
          </w:tcPr>
          <w:p w14:paraId="718E4581" w14:textId="77777777" w:rsidR="0053232A" w:rsidRPr="006406DD" w:rsidRDefault="0053232A" w:rsidP="00E57F6C">
            <w:r>
              <w:t>Student presentations</w:t>
            </w:r>
          </w:p>
        </w:tc>
        <w:tc>
          <w:tcPr>
            <w:tcW w:w="3150" w:type="dxa"/>
          </w:tcPr>
          <w:p w14:paraId="7A0D5BB9" w14:textId="6ADEDDA2" w:rsidR="0053232A" w:rsidRPr="006406DD" w:rsidRDefault="00B344B4" w:rsidP="00E57F6C">
            <w:r>
              <w:t xml:space="preserve">Student research proposal presentations </w:t>
            </w:r>
          </w:p>
        </w:tc>
        <w:tc>
          <w:tcPr>
            <w:tcW w:w="1548" w:type="dxa"/>
          </w:tcPr>
          <w:p w14:paraId="6D84BDC4" w14:textId="080A52B3" w:rsidR="0053232A" w:rsidRPr="006406DD" w:rsidRDefault="00B344B4" w:rsidP="00E57F6C">
            <w:r>
              <w:t>Research Design #2</w:t>
            </w:r>
          </w:p>
        </w:tc>
      </w:tr>
      <w:tr w:rsidR="0053232A" w:rsidRPr="006406DD" w14:paraId="54596F1E" w14:textId="77777777" w:rsidTr="00E57F6C">
        <w:tc>
          <w:tcPr>
            <w:tcW w:w="1278" w:type="dxa"/>
          </w:tcPr>
          <w:p w14:paraId="43568FC9" w14:textId="77777777" w:rsidR="0053232A" w:rsidRPr="006406DD" w:rsidRDefault="0053232A" w:rsidP="00E57F6C">
            <w:proofErr w:type="spellStart"/>
            <w:r>
              <w:t>Th</w:t>
            </w:r>
            <w:proofErr w:type="spellEnd"/>
            <w:r>
              <w:t xml:space="preserve"> Nov 26</w:t>
            </w:r>
          </w:p>
        </w:tc>
        <w:tc>
          <w:tcPr>
            <w:tcW w:w="7398" w:type="dxa"/>
            <w:gridSpan w:val="4"/>
          </w:tcPr>
          <w:p w14:paraId="6AD6FA9E" w14:textId="77777777" w:rsidR="0053232A" w:rsidRPr="006406DD" w:rsidRDefault="0053232A" w:rsidP="00E57F6C">
            <w:pPr>
              <w:jc w:val="center"/>
            </w:pPr>
            <w:r>
              <w:t>No Class - Thanksgiving</w:t>
            </w:r>
          </w:p>
        </w:tc>
      </w:tr>
      <w:tr w:rsidR="0053232A" w:rsidRPr="006406DD" w14:paraId="25D0BF37" w14:textId="77777777" w:rsidTr="00E57F6C">
        <w:tc>
          <w:tcPr>
            <w:tcW w:w="1278" w:type="dxa"/>
          </w:tcPr>
          <w:p w14:paraId="0608A526" w14:textId="77777777" w:rsidR="0053232A" w:rsidRPr="006406DD" w:rsidRDefault="0053232A" w:rsidP="00E57F6C">
            <w:proofErr w:type="spellStart"/>
            <w:r w:rsidRPr="006406DD">
              <w:t>Tu</w:t>
            </w:r>
            <w:proofErr w:type="spellEnd"/>
            <w:r w:rsidRPr="006406DD">
              <w:t xml:space="preserve"> Dec 1</w:t>
            </w:r>
          </w:p>
        </w:tc>
        <w:tc>
          <w:tcPr>
            <w:tcW w:w="990" w:type="dxa"/>
          </w:tcPr>
          <w:p w14:paraId="14B44EB7" w14:textId="77777777" w:rsidR="0053232A" w:rsidRPr="006406DD" w:rsidRDefault="0053232A" w:rsidP="00E57F6C">
            <w:r>
              <w:t>L&amp;D</w:t>
            </w:r>
          </w:p>
        </w:tc>
        <w:tc>
          <w:tcPr>
            <w:tcW w:w="1710" w:type="dxa"/>
          </w:tcPr>
          <w:p w14:paraId="643C86E3" w14:textId="77777777" w:rsidR="0053232A" w:rsidRPr="006406DD" w:rsidRDefault="0053232A" w:rsidP="00E57F6C">
            <w:r>
              <w:t>Wrap up</w:t>
            </w:r>
          </w:p>
        </w:tc>
        <w:tc>
          <w:tcPr>
            <w:tcW w:w="3150" w:type="dxa"/>
          </w:tcPr>
          <w:p w14:paraId="010FAC74" w14:textId="77777777" w:rsidR="0053232A" w:rsidRPr="006406DD" w:rsidRDefault="0053232A" w:rsidP="00E57F6C"/>
        </w:tc>
        <w:tc>
          <w:tcPr>
            <w:tcW w:w="1548" w:type="dxa"/>
          </w:tcPr>
          <w:p w14:paraId="51578687" w14:textId="77777777" w:rsidR="0053232A" w:rsidRPr="006406DD" w:rsidRDefault="0053232A" w:rsidP="00E57F6C"/>
        </w:tc>
      </w:tr>
    </w:tbl>
    <w:p w14:paraId="0F135C6C" w14:textId="77777777" w:rsidR="00B344B4" w:rsidRDefault="00B344B4" w:rsidP="0053232A"/>
    <w:p w14:paraId="54445B93" w14:textId="77777777" w:rsidR="0053232A" w:rsidRPr="00B344B4" w:rsidRDefault="0053232A" w:rsidP="0053232A">
      <w:pPr>
        <w:rPr>
          <w:b/>
          <w:u w:val="single"/>
        </w:rPr>
      </w:pPr>
      <w:r w:rsidRPr="00B344B4">
        <w:rPr>
          <w:b/>
          <w:u w:val="single"/>
        </w:rPr>
        <w:t>Abbreviations</w:t>
      </w:r>
    </w:p>
    <w:p w14:paraId="5D79F1E3" w14:textId="77777777" w:rsidR="0053232A" w:rsidRDefault="0053232A" w:rsidP="0053232A">
      <w:r>
        <w:t>L – Lecture</w:t>
      </w:r>
    </w:p>
    <w:p w14:paraId="2A41895A" w14:textId="77777777" w:rsidR="0053232A" w:rsidRDefault="0053232A" w:rsidP="0053232A">
      <w:r>
        <w:t>D – Discussion</w:t>
      </w:r>
    </w:p>
    <w:p w14:paraId="2F3F0D26" w14:textId="77777777" w:rsidR="0053232A" w:rsidRDefault="0053232A" w:rsidP="0053232A">
      <w:r>
        <w:t>E – Exercise</w:t>
      </w:r>
    </w:p>
    <w:p w14:paraId="20E84146" w14:textId="77777777" w:rsidR="0053232A" w:rsidRDefault="0053232A" w:rsidP="0053232A">
      <w:r>
        <w:t>TBA – to be announced</w:t>
      </w:r>
    </w:p>
    <w:p w14:paraId="091CE570" w14:textId="77777777" w:rsidR="0053232A" w:rsidRDefault="0053232A" w:rsidP="0053232A">
      <w:r>
        <w:t>IV – instrumental variable</w:t>
      </w:r>
    </w:p>
    <w:p w14:paraId="349AA659" w14:textId="77777777" w:rsidR="0053232A" w:rsidRDefault="0053232A" w:rsidP="0053232A">
      <w:r>
        <w:t>RD – regression discontinuity</w:t>
      </w:r>
    </w:p>
    <w:p w14:paraId="2BEC61B3" w14:textId="77777777" w:rsidR="0053232A" w:rsidRDefault="0053232A" w:rsidP="0053232A">
      <w:r>
        <w:t>DD – difference-in-difference</w:t>
      </w:r>
    </w:p>
    <w:p w14:paraId="266CE0CD" w14:textId="77777777" w:rsidR="0053232A" w:rsidRDefault="0053232A" w:rsidP="0053232A">
      <w:r>
        <w:t>CITS – comparative interrupted time series</w:t>
      </w:r>
    </w:p>
    <w:p w14:paraId="39F8EAF8" w14:textId="77777777" w:rsidR="0053232A" w:rsidRDefault="0053232A" w:rsidP="0053232A">
      <w:r>
        <w:t>FE – fixed effects</w:t>
      </w:r>
    </w:p>
    <w:p w14:paraId="1D5B0569" w14:textId="77777777" w:rsidR="0053232A" w:rsidRDefault="0053232A" w:rsidP="0053232A">
      <w:r>
        <w:t>PSM – propensity score matching</w:t>
      </w:r>
    </w:p>
    <w:p w14:paraId="47EB5467" w14:textId="77777777" w:rsidR="0053232A" w:rsidRDefault="0053232A" w:rsidP="0053232A">
      <w:r>
        <w:t>SSC – Shadish, Cook &amp; Campbell 2002</w:t>
      </w:r>
    </w:p>
    <w:p w14:paraId="2A11C34B" w14:textId="77777777" w:rsidR="0053232A" w:rsidRDefault="0053232A" w:rsidP="0053232A">
      <w:pPr>
        <w:rPr>
          <w:rFonts w:cs="Times"/>
        </w:rPr>
      </w:pPr>
      <w:r>
        <w:rPr>
          <w:rFonts w:eastAsia="Times New Roman" w:cs="Times New Roman"/>
        </w:rPr>
        <w:t xml:space="preserve">HR – </w:t>
      </w:r>
      <w:proofErr w:type="spellStart"/>
      <w:r>
        <w:rPr>
          <w:rFonts w:eastAsia="Times New Roman" w:cs="Times New Roman"/>
        </w:rPr>
        <w:t>Hernán</w:t>
      </w:r>
      <w:proofErr w:type="spellEnd"/>
      <w:r>
        <w:rPr>
          <w:rFonts w:eastAsia="Times New Roman" w:cs="Times New Roman"/>
        </w:rPr>
        <w:t xml:space="preserve"> </w:t>
      </w:r>
      <w:r>
        <w:rPr>
          <w:rFonts w:cs="Times"/>
        </w:rPr>
        <w:t>&amp; Robins Forthcoming</w:t>
      </w:r>
    </w:p>
    <w:p w14:paraId="067DDFDA" w14:textId="77777777" w:rsidR="0053232A" w:rsidRDefault="0053232A" w:rsidP="0053232A">
      <w:pPr>
        <w:rPr>
          <w:rFonts w:cs="Times"/>
        </w:rPr>
      </w:pPr>
      <w:r>
        <w:rPr>
          <w:rFonts w:cs="Times"/>
        </w:rPr>
        <w:t>MW – Murnane &amp; Willett 2010</w:t>
      </w:r>
    </w:p>
    <w:p w14:paraId="26016C3D" w14:textId="77777777" w:rsidR="0053232A" w:rsidRDefault="0053232A" w:rsidP="0053232A">
      <w:pPr>
        <w:rPr>
          <w:rFonts w:cs="Times"/>
        </w:rPr>
      </w:pPr>
    </w:p>
    <w:p w14:paraId="1FA222EC" w14:textId="77777777" w:rsidR="0053232A" w:rsidRPr="00B344B4" w:rsidRDefault="0053232A" w:rsidP="0053232A">
      <w:pPr>
        <w:rPr>
          <w:rFonts w:cs="Times"/>
          <w:b/>
          <w:u w:val="single"/>
        </w:rPr>
      </w:pPr>
      <w:r w:rsidRPr="00B344B4">
        <w:rPr>
          <w:rFonts w:cs="Times"/>
          <w:b/>
          <w:u w:val="single"/>
        </w:rPr>
        <w:t>Bibliography</w:t>
      </w:r>
    </w:p>
    <w:p w14:paraId="2A228B82" w14:textId="77777777" w:rsidR="0053232A" w:rsidRDefault="0053232A" w:rsidP="0053232A">
      <w:pPr>
        <w:rPr>
          <w:rFonts w:cs="Times"/>
        </w:rPr>
      </w:pPr>
    </w:p>
    <w:p w14:paraId="0A4EB08E" w14:textId="77777777" w:rsidR="0053232A" w:rsidRPr="0003035E" w:rsidRDefault="0053232A" w:rsidP="0053232A">
      <w:pPr>
        <w:ind w:left="475" w:hanging="475"/>
        <w:rPr>
          <w:rFonts w:eastAsia="Times New Roman" w:cs="Times New Roman"/>
        </w:rPr>
      </w:pPr>
      <w:proofErr w:type="spellStart"/>
      <w:r w:rsidRPr="0003035E">
        <w:rPr>
          <w:rFonts w:eastAsia="Times New Roman" w:cs="Times New Roman"/>
        </w:rPr>
        <w:t>Angrist</w:t>
      </w:r>
      <w:proofErr w:type="spellEnd"/>
      <w:r w:rsidRPr="0003035E">
        <w:rPr>
          <w:rFonts w:eastAsia="Times New Roman" w:cs="Times New Roman"/>
        </w:rPr>
        <w:t xml:space="preserve">, J. D. (1990). Lifetime earnings and the Vietnam era draft lottery: evidence from social security administrative records. </w:t>
      </w:r>
      <w:r w:rsidRPr="0003035E">
        <w:rPr>
          <w:rFonts w:eastAsia="Times New Roman" w:cs="Times New Roman"/>
          <w:i/>
          <w:iCs/>
        </w:rPr>
        <w:t>The American Economic Review</w:t>
      </w:r>
      <w:r w:rsidRPr="0003035E">
        <w:rPr>
          <w:rFonts w:eastAsia="Times New Roman" w:cs="Times New Roman"/>
        </w:rPr>
        <w:t>, 313–336.</w:t>
      </w:r>
    </w:p>
    <w:p w14:paraId="07D7DF27" w14:textId="77777777" w:rsidR="0053232A" w:rsidRPr="0003035E" w:rsidRDefault="0053232A" w:rsidP="0053232A">
      <w:pPr>
        <w:ind w:left="475" w:hanging="475"/>
        <w:rPr>
          <w:rFonts w:eastAsia="Times New Roman" w:cs="Times New Roman"/>
        </w:rPr>
      </w:pPr>
      <w:proofErr w:type="spellStart"/>
      <w:r w:rsidRPr="0003035E">
        <w:rPr>
          <w:rFonts w:eastAsia="Times New Roman" w:cs="Times New Roman"/>
        </w:rPr>
        <w:t>Angrist</w:t>
      </w:r>
      <w:proofErr w:type="spellEnd"/>
      <w:r w:rsidRPr="0003035E">
        <w:rPr>
          <w:rFonts w:eastAsia="Times New Roman" w:cs="Times New Roman"/>
        </w:rPr>
        <w:t xml:space="preserve">, J. D., &amp; Krueger, A. B. (2001). Instrumental Variables and the Search for Identification: From Supply and Demand to Natural Experiments. </w:t>
      </w:r>
      <w:r w:rsidRPr="0003035E">
        <w:rPr>
          <w:rFonts w:eastAsia="Times New Roman" w:cs="Times New Roman"/>
          <w:i/>
          <w:iCs/>
        </w:rPr>
        <w:t>The Journal of Economic Perspectives</w:t>
      </w:r>
      <w:r w:rsidRPr="0003035E">
        <w:rPr>
          <w:rFonts w:eastAsia="Times New Roman" w:cs="Times New Roman"/>
        </w:rPr>
        <w:t xml:space="preserve">, </w:t>
      </w:r>
      <w:r w:rsidRPr="0003035E">
        <w:rPr>
          <w:rFonts w:eastAsia="Times New Roman" w:cs="Times New Roman"/>
          <w:i/>
          <w:iCs/>
        </w:rPr>
        <w:t>15</w:t>
      </w:r>
      <w:r w:rsidRPr="0003035E">
        <w:rPr>
          <w:rFonts w:eastAsia="Times New Roman" w:cs="Times New Roman"/>
        </w:rPr>
        <w:t>(4), 69–85.</w:t>
      </w:r>
    </w:p>
    <w:p w14:paraId="7F988B0B" w14:textId="77777777" w:rsidR="0053232A" w:rsidRPr="0003035E" w:rsidRDefault="0053232A" w:rsidP="0053232A">
      <w:pPr>
        <w:ind w:left="475" w:hanging="475"/>
        <w:rPr>
          <w:rFonts w:eastAsia="Times New Roman" w:cs="Times New Roman"/>
        </w:rPr>
      </w:pPr>
      <w:proofErr w:type="spellStart"/>
      <w:r w:rsidRPr="0003035E">
        <w:rPr>
          <w:rFonts w:eastAsia="Times New Roman" w:cs="Times New Roman"/>
        </w:rPr>
        <w:t>Angrist</w:t>
      </w:r>
      <w:proofErr w:type="spellEnd"/>
      <w:r w:rsidRPr="0003035E">
        <w:rPr>
          <w:rFonts w:eastAsia="Times New Roman" w:cs="Times New Roman"/>
        </w:rPr>
        <w:t xml:space="preserve">, J. D., &amp; </w:t>
      </w:r>
      <w:proofErr w:type="spellStart"/>
      <w:r w:rsidRPr="0003035E">
        <w:rPr>
          <w:rFonts w:eastAsia="Times New Roman" w:cs="Times New Roman"/>
        </w:rPr>
        <w:t>Pischke</w:t>
      </w:r>
      <w:proofErr w:type="spellEnd"/>
      <w:r w:rsidRPr="0003035E">
        <w:rPr>
          <w:rFonts w:eastAsia="Times New Roman" w:cs="Times New Roman"/>
        </w:rPr>
        <w:t xml:space="preserve">, J.-S. (2008). </w:t>
      </w:r>
      <w:r w:rsidRPr="0003035E">
        <w:rPr>
          <w:rFonts w:eastAsia="Times New Roman" w:cs="Times New Roman"/>
          <w:i/>
          <w:iCs/>
        </w:rPr>
        <w:t>Mostly harmless econometrics: An empiricist’s companion</w:t>
      </w:r>
      <w:r w:rsidRPr="0003035E">
        <w:rPr>
          <w:rFonts w:eastAsia="Times New Roman" w:cs="Times New Roman"/>
        </w:rPr>
        <w:t xml:space="preserve">. Princeton university press. </w:t>
      </w:r>
    </w:p>
    <w:p w14:paraId="1A1B27D3" w14:textId="77777777" w:rsidR="0053232A" w:rsidRPr="0003035E" w:rsidRDefault="0053232A" w:rsidP="0053232A">
      <w:pPr>
        <w:ind w:left="475" w:hanging="475"/>
        <w:rPr>
          <w:rFonts w:eastAsia="Times New Roman" w:cs="Times New Roman"/>
        </w:rPr>
      </w:pPr>
      <w:proofErr w:type="spellStart"/>
      <w:r w:rsidRPr="0003035E">
        <w:rPr>
          <w:rFonts w:eastAsia="Times New Roman" w:cs="Times New Roman"/>
        </w:rPr>
        <w:t>Angrist</w:t>
      </w:r>
      <w:proofErr w:type="spellEnd"/>
      <w:r w:rsidRPr="0003035E">
        <w:rPr>
          <w:rFonts w:eastAsia="Times New Roman" w:cs="Times New Roman"/>
        </w:rPr>
        <w:t xml:space="preserve">, J. D., &amp; </w:t>
      </w:r>
      <w:proofErr w:type="spellStart"/>
      <w:r w:rsidRPr="0003035E">
        <w:rPr>
          <w:rFonts w:eastAsia="Times New Roman" w:cs="Times New Roman"/>
        </w:rPr>
        <w:t>Pischke</w:t>
      </w:r>
      <w:proofErr w:type="spellEnd"/>
      <w:r w:rsidRPr="0003035E">
        <w:rPr>
          <w:rFonts w:eastAsia="Times New Roman" w:cs="Times New Roman"/>
        </w:rPr>
        <w:t xml:space="preserve">, J.-S. (2010). The Credibility Revolution in Empirical Economics: How Better Research Design is Taking the Con out of Econometrics. </w:t>
      </w:r>
      <w:r w:rsidRPr="0003035E">
        <w:rPr>
          <w:rFonts w:eastAsia="Times New Roman" w:cs="Times New Roman"/>
          <w:i/>
          <w:iCs/>
        </w:rPr>
        <w:t>Journal of Economic Perspectives</w:t>
      </w:r>
      <w:r w:rsidRPr="0003035E">
        <w:rPr>
          <w:rFonts w:eastAsia="Times New Roman" w:cs="Times New Roman"/>
        </w:rPr>
        <w:t xml:space="preserve">, </w:t>
      </w:r>
      <w:r w:rsidRPr="0003035E">
        <w:rPr>
          <w:rFonts w:eastAsia="Times New Roman" w:cs="Times New Roman"/>
          <w:i/>
          <w:iCs/>
        </w:rPr>
        <w:t>24</w:t>
      </w:r>
      <w:r w:rsidRPr="0003035E">
        <w:rPr>
          <w:rFonts w:eastAsia="Times New Roman" w:cs="Times New Roman"/>
        </w:rPr>
        <w:t>(2), 3–30. http://doi.org/10.1257/jep.24.2.3</w:t>
      </w:r>
    </w:p>
    <w:p w14:paraId="1ED382D3" w14:textId="77777777" w:rsidR="0053232A" w:rsidRPr="0003035E" w:rsidRDefault="0053232A" w:rsidP="0053232A">
      <w:pPr>
        <w:ind w:left="475" w:hanging="475"/>
        <w:rPr>
          <w:rFonts w:eastAsia="Times New Roman" w:cs="Times New Roman"/>
        </w:rPr>
      </w:pPr>
      <w:r w:rsidRPr="0003035E">
        <w:rPr>
          <w:rFonts w:eastAsia="Times New Roman" w:cs="Times New Roman"/>
        </w:rPr>
        <w:t xml:space="preserve">Baron, R. M., &amp; Kenny, D. A. (1986). The moderator–mediator variable distinction in social psychological research: Conceptual, strategic, and statistical considerations. </w:t>
      </w:r>
      <w:r w:rsidRPr="0003035E">
        <w:rPr>
          <w:rFonts w:eastAsia="Times New Roman" w:cs="Times New Roman"/>
          <w:i/>
          <w:iCs/>
        </w:rPr>
        <w:t>Journal of Personality and Social Psychology</w:t>
      </w:r>
      <w:r w:rsidRPr="0003035E">
        <w:rPr>
          <w:rFonts w:eastAsia="Times New Roman" w:cs="Times New Roman"/>
        </w:rPr>
        <w:t xml:space="preserve">, </w:t>
      </w:r>
      <w:r w:rsidRPr="0003035E">
        <w:rPr>
          <w:rFonts w:eastAsia="Times New Roman" w:cs="Times New Roman"/>
          <w:i/>
          <w:iCs/>
        </w:rPr>
        <w:t>51</w:t>
      </w:r>
      <w:r w:rsidRPr="0003035E">
        <w:rPr>
          <w:rFonts w:eastAsia="Times New Roman" w:cs="Times New Roman"/>
        </w:rPr>
        <w:t>(6), 1173.</w:t>
      </w:r>
    </w:p>
    <w:p w14:paraId="334EA2D5" w14:textId="77777777" w:rsidR="0053232A" w:rsidRPr="0003035E" w:rsidRDefault="0053232A" w:rsidP="0053232A">
      <w:pPr>
        <w:ind w:left="475" w:hanging="475"/>
        <w:rPr>
          <w:rFonts w:eastAsia="Times New Roman" w:cs="Times New Roman"/>
        </w:rPr>
      </w:pPr>
      <w:proofErr w:type="spellStart"/>
      <w:r w:rsidRPr="0003035E">
        <w:rPr>
          <w:rFonts w:eastAsia="Times New Roman" w:cs="Times New Roman"/>
        </w:rPr>
        <w:t>Bingenheimer</w:t>
      </w:r>
      <w:proofErr w:type="spellEnd"/>
      <w:r w:rsidRPr="0003035E">
        <w:rPr>
          <w:rFonts w:eastAsia="Times New Roman" w:cs="Times New Roman"/>
        </w:rPr>
        <w:t xml:space="preserve">, J. B. (2005). Firearm Violence Exposure and Serious Violent Behavior. </w:t>
      </w:r>
      <w:r w:rsidRPr="0003035E">
        <w:rPr>
          <w:rFonts w:eastAsia="Times New Roman" w:cs="Times New Roman"/>
          <w:i/>
          <w:iCs/>
        </w:rPr>
        <w:t>Science</w:t>
      </w:r>
      <w:r w:rsidRPr="0003035E">
        <w:rPr>
          <w:rFonts w:eastAsia="Times New Roman" w:cs="Times New Roman"/>
        </w:rPr>
        <w:t xml:space="preserve">, </w:t>
      </w:r>
      <w:r w:rsidRPr="0003035E">
        <w:rPr>
          <w:rFonts w:eastAsia="Times New Roman" w:cs="Times New Roman"/>
          <w:i/>
          <w:iCs/>
        </w:rPr>
        <w:t>308</w:t>
      </w:r>
      <w:r w:rsidRPr="0003035E">
        <w:rPr>
          <w:rFonts w:eastAsia="Times New Roman" w:cs="Times New Roman"/>
        </w:rPr>
        <w:t>(5726), 1323–1326. http://doi.org/10.1126/science.1110096</w:t>
      </w:r>
    </w:p>
    <w:p w14:paraId="6AC99879" w14:textId="77777777" w:rsidR="0053232A" w:rsidRPr="0003035E" w:rsidRDefault="0053232A" w:rsidP="0053232A">
      <w:pPr>
        <w:ind w:left="475" w:hanging="475"/>
        <w:rPr>
          <w:rFonts w:eastAsia="Times New Roman" w:cs="Times New Roman"/>
        </w:rPr>
      </w:pPr>
      <w:proofErr w:type="spellStart"/>
      <w:r w:rsidRPr="0003035E">
        <w:rPr>
          <w:rFonts w:eastAsia="Times New Roman" w:cs="Times New Roman"/>
        </w:rPr>
        <w:t>Budig</w:t>
      </w:r>
      <w:proofErr w:type="spellEnd"/>
      <w:r w:rsidRPr="0003035E">
        <w:rPr>
          <w:rFonts w:eastAsia="Times New Roman" w:cs="Times New Roman"/>
        </w:rPr>
        <w:t xml:space="preserve">, M. J., &amp; England, P. (2001). The wage penalty for motherhood. </w:t>
      </w:r>
      <w:r w:rsidRPr="0003035E">
        <w:rPr>
          <w:rFonts w:eastAsia="Times New Roman" w:cs="Times New Roman"/>
          <w:i/>
          <w:iCs/>
        </w:rPr>
        <w:t>American Sociological Review</w:t>
      </w:r>
      <w:r w:rsidRPr="0003035E">
        <w:rPr>
          <w:rFonts w:eastAsia="Times New Roman" w:cs="Times New Roman"/>
        </w:rPr>
        <w:t>, 204–225.</w:t>
      </w:r>
    </w:p>
    <w:p w14:paraId="52EB44A7" w14:textId="77777777" w:rsidR="0053232A" w:rsidRPr="0003035E" w:rsidRDefault="0053232A" w:rsidP="0053232A">
      <w:pPr>
        <w:ind w:left="475" w:hanging="475"/>
        <w:rPr>
          <w:rFonts w:eastAsia="Times New Roman" w:cs="Times New Roman"/>
        </w:rPr>
      </w:pPr>
      <w:r w:rsidRPr="0003035E">
        <w:rPr>
          <w:rFonts w:eastAsia="Times New Roman" w:cs="Times New Roman"/>
        </w:rPr>
        <w:t xml:space="preserve">Card, D., &amp; Krueger, A. B. (1993). </w:t>
      </w:r>
      <w:r w:rsidRPr="0003035E">
        <w:rPr>
          <w:rFonts w:eastAsia="Times New Roman" w:cs="Times New Roman"/>
          <w:i/>
          <w:iCs/>
        </w:rPr>
        <w:t>Minimum wages and employment: A case study of the fast food industry in New Jersey and Pennsylvania</w:t>
      </w:r>
      <w:r w:rsidRPr="0003035E">
        <w:rPr>
          <w:rFonts w:eastAsia="Times New Roman" w:cs="Times New Roman"/>
        </w:rPr>
        <w:t>. National Bureau of Economic Research. Retrieved from http://www.nber.org/papers/w4509</w:t>
      </w:r>
    </w:p>
    <w:p w14:paraId="26B5ADAF" w14:textId="77777777" w:rsidR="0053232A" w:rsidRPr="0003035E" w:rsidRDefault="0053232A" w:rsidP="0053232A">
      <w:pPr>
        <w:ind w:left="475" w:hanging="475"/>
        <w:rPr>
          <w:rFonts w:eastAsia="Times New Roman" w:cs="Times New Roman"/>
        </w:rPr>
      </w:pPr>
      <w:r w:rsidRPr="0003035E">
        <w:rPr>
          <w:rFonts w:eastAsia="Times New Roman" w:cs="Times New Roman"/>
        </w:rPr>
        <w:t xml:space="preserve">Cheng, C., &amp; Hoekstra, M. (2013). Does Strengthening Self-Defense Law Deter Crime or Escalate Violence?: Evidence from Expansions to Castle Doctrine. </w:t>
      </w:r>
      <w:r w:rsidRPr="0003035E">
        <w:rPr>
          <w:rFonts w:eastAsia="Times New Roman" w:cs="Times New Roman"/>
          <w:i/>
          <w:iCs/>
        </w:rPr>
        <w:t>Journal of Human Resources</w:t>
      </w:r>
      <w:r w:rsidRPr="0003035E">
        <w:rPr>
          <w:rFonts w:eastAsia="Times New Roman" w:cs="Times New Roman"/>
        </w:rPr>
        <w:t xml:space="preserve">, </w:t>
      </w:r>
      <w:r w:rsidRPr="0003035E">
        <w:rPr>
          <w:rFonts w:eastAsia="Times New Roman" w:cs="Times New Roman"/>
          <w:i/>
          <w:iCs/>
        </w:rPr>
        <w:t>48</w:t>
      </w:r>
      <w:r w:rsidRPr="0003035E">
        <w:rPr>
          <w:rFonts w:eastAsia="Times New Roman" w:cs="Times New Roman"/>
        </w:rPr>
        <w:t>(3), 821–853. http://doi.org/10.1353/jhr.2013.0023</w:t>
      </w:r>
    </w:p>
    <w:p w14:paraId="22D4E572" w14:textId="77777777" w:rsidR="0053232A" w:rsidRPr="0003035E" w:rsidRDefault="0053232A" w:rsidP="0053232A">
      <w:pPr>
        <w:ind w:left="475" w:hanging="475"/>
        <w:rPr>
          <w:rFonts w:eastAsia="Times New Roman" w:cs="Times New Roman"/>
        </w:rPr>
      </w:pPr>
      <w:r w:rsidRPr="0003035E">
        <w:rPr>
          <w:rFonts w:eastAsia="Times New Roman" w:cs="Times New Roman"/>
        </w:rPr>
        <w:t xml:space="preserve">Cook, T. D., Shadish, W. R., &amp; Wong, V. C. (2008). Three conditions under which experiments and observational studies produce comparable causal estimates: New findings from within-study comparisons. </w:t>
      </w:r>
      <w:r w:rsidRPr="0003035E">
        <w:rPr>
          <w:rFonts w:eastAsia="Times New Roman" w:cs="Times New Roman"/>
          <w:i/>
          <w:iCs/>
        </w:rPr>
        <w:t>Journal of Policy Analysis and Management</w:t>
      </w:r>
      <w:r w:rsidRPr="0003035E">
        <w:rPr>
          <w:rFonts w:eastAsia="Times New Roman" w:cs="Times New Roman"/>
        </w:rPr>
        <w:t xml:space="preserve">, </w:t>
      </w:r>
      <w:r w:rsidRPr="0003035E">
        <w:rPr>
          <w:rFonts w:eastAsia="Times New Roman" w:cs="Times New Roman"/>
          <w:i/>
          <w:iCs/>
        </w:rPr>
        <w:t>27</w:t>
      </w:r>
      <w:r w:rsidRPr="0003035E">
        <w:rPr>
          <w:rFonts w:eastAsia="Times New Roman" w:cs="Times New Roman"/>
        </w:rPr>
        <w:t>(4), 724–750. http://doi.org/10.1002/pam.20375</w:t>
      </w:r>
    </w:p>
    <w:p w14:paraId="5C731C35" w14:textId="77777777" w:rsidR="0053232A" w:rsidRPr="0003035E" w:rsidRDefault="0053232A" w:rsidP="0053232A">
      <w:pPr>
        <w:ind w:left="475" w:hanging="475"/>
        <w:rPr>
          <w:rFonts w:eastAsia="Times New Roman" w:cs="Times New Roman"/>
        </w:rPr>
      </w:pPr>
      <w:r w:rsidRPr="0003035E">
        <w:rPr>
          <w:rFonts w:eastAsia="Times New Roman" w:cs="Times New Roman"/>
        </w:rPr>
        <w:t xml:space="preserve">Dee, T. S., &amp; Jacob, B. (2011). The impact of No Child Left Behind on student achievement. </w:t>
      </w:r>
      <w:r w:rsidRPr="0003035E">
        <w:rPr>
          <w:rFonts w:eastAsia="Times New Roman" w:cs="Times New Roman"/>
          <w:i/>
          <w:iCs/>
        </w:rPr>
        <w:t>Journal of Policy Analysis and Management</w:t>
      </w:r>
      <w:r w:rsidRPr="0003035E">
        <w:rPr>
          <w:rFonts w:eastAsia="Times New Roman" w:cs="Times New Roman"/>
        </w:rPr>
        <w:t xml:space="preserve">, </w:t>
      </w:r>
      <w:r w:rsidRPr="0003035E">
        <w:rPr>
          <w:rFonts w:eastAsia="Times New Roman" w:cs="Times New Roman"/>
          <w:i/>
          <w:iCs/>
        </w:rPr>
        <w:t>30</w:t>
      </w:r>
      <w:r w:rsidRPr="0003035E">
        <w:rPr>
          <w:rFonts w:eastAsia="Times New Roman" w:cs="Times New Roman"/>
        </w:rPr>
        <w:t>(3), 418–446.</w:t>
      </w:r>
    </w:p>
    <w:p w14:paraId="470DF645" w14:textId="77777777" w:rsidR="0053232A" w:rsidRPr="0003035E" w:rsidRDefault="0053232A" w:rsidP="0053232A">
      <w:pPr>
        <w:ind w:left="475" w:hanging="475"/>
        <w:rPr>
          <w:rFonts w:eastAsia="Times New Roman" w:cs="Times New Roman"/>
        </w:rPr>
      </w:pPr>
      <w:proofErr w:type="spellStart"/>
      <w:r w:rsidRPr="0003035E">
        <w:rPr>
          <w:rFonts w:eastAsia="Times New Roman" w:cs="Times New Roman"/>
        </w:rPr>
        <w:t>Elwert</w:t>
      </w:r>
      <w:proofErr w:type="spellEnd"/>
      <w:r w:rsidRPr="0003035E">
        <w:rPr>
          <w:rFonts w:eastAsia="Times New Roman" w:cs="Times New Roman"/>
        </w:rPr>
        <w:t xml:space="preserve">, F. (2013). Graphical Causal Models. In </w:t>
      </w:r>
      <w:r w:rsidRPr="0003035E">
        <w:rPr>
          <w:rFonts w:eastAsia="Times New Roman" w:cs="Times New Roman"/>
          <w:i/>
          <w:iCs/>
        </w:rPr>
        <w:t>Handbook of Causal Analysis for Social Research</w:t>
      </w:r>
      <w:r w:rsidRPr="0003035E">
        <w:rPr>
          <w:rFonts w:eastAsia="Times New Roman" w:cs="Times New Roman"/>
        </w:rPr>
        <w:t xml:space="preserve"> (pp. 245–273). Springer. Retrieved from http://link.springer.com/chapter/10.1007/978-94-007-6094-3_13</w:t>
      </w:r>
    </w:p>
    <w:p w14:paraId="7DAD86CF" w14:textId="77777777" w:rsidR="0053232A" w:rsidRPr="0003035E" w:rsidRDefault="0053232A" w:rsidP="0053232A">
      <w:pPr>
        <w:ind w:left="475" w:hanging="475"/>
        <w:rPr>
          <w:rFonts w:eastAsia="Times New Roman" w:cs="Times New Roman"/>
        </w:rPr>
      </w:pPr>
      <w:proofErr w:type="spellStart"/>
      <w:r w:rsidRPr="0003035E">
        <w:rPr>
          <w:rFonts w:eastAsia="Times New Roman" w:cs="Times New Roman"/>
        </w:rPr>
        <w:t>Elwert</w:t>
      </w:r>
      <w:proofErr w:type="spellEnd"/>
      <w:r w:rsidRPr="0003035E">
        <w:rPr>
          <w:rFonts w:eastAsia="Times New Roman" w:cs="Times New Roman"/>
        </w:rPr>
        <w:t xml:space="preserve">, F., &amp; Winship, C. (2014). Endogenous Selection Bias: The Problem of Conditioning on a Collider Variable. </w:t>
      </w:r>
      <w:r w:rsidRPr="0003035E">
        <w:rPr>
          <w:rFonts w:eastAsia="Times New Roman" w:cs="Times New Roman"/>
          <w:i/>
          <w:iCs/>
        </w:rPr>
        <w:t>Annual Review of Sociology</w:t>
      </w:r>
      <w:r w:rsidRPr="0003035E">
        <w:rPr>
          <w:rFonts w:eastAsia="Times New Roman" w:cs="Times New Roman"/>
        </w:rPr>
        <w:t xml:space="preserve">, </w:t>
      </w:r>
      <w:r w:rsidRPr="0003035E">
        <w:rPr>
          <w:rFonts w:eastAsia="Times New Roman" w:cs="Times New Roman"/>
          <w:i/>
          <w:iCs/>
        </w:rPr>
        <w:t>40</w:t>
      </w:r>
      <w:r w:rsidRPr="0003035E">
        <w:rPr>
          <w:rFonts w:eastAsia="Times New Roman" w:cs="Times New Roman"/>
        </w:rPr>
        <w:t>(1), 31–53. http://doi.org/10.1146/annurev-soc-071913-043455</w:t>
      </w:r>
    </w:p>
    <w:p w14:paraId="0519B9ED" w14:textId="77777777" w:rsidR="0053232A" w:rsidRPr="0003035E" w:rsidRDefault="0053232A" w:rsidP="0053232A">
      <w:pPr>
        <w:ind w:left="475" w:hanging="475"/>
        <w:rPr>
          <w:rFonts w:eastAsia="Times New Roman" w:cs="Times New Roman"/>
        </w:rPr>
      </w:pPr>
      <w:proofErr w:type="spellStart"/>
      <w:r w:rsidRPr="0003035E">
        <w:rPr>
          <w:rFonts w:eastAsia="Times New Roman" w:cs="Times New Roman"/>
        </w:rPr>
        <w:t>Gormley</w:t>
      </w:r>
      <w:proofErr w:type="spellEnd"/>
      <w:r w:rsidRPr="0003035E">
        <w:rPr>
          <w:rFonts w:eastAsia="Times New Roman" w:cs="Times New Roman"/>
        </w:rPr>
        <w:t xml:space="preserve">, W. T., &amp; Gayer, T. (2005). Promoting school readiness in </w:t>
      </w:r>
      <w:proofErr w:type="spellStart"/>
      <w:r w:rsidRPr="0003035E">
        <w:rPr>
          <w:rFonts w:eastAsia="Times New Roman" w:cs="Times New Roman"/>
        </w:rPr>
        <w:t>oklahoma</w:t>
      </w:r>
      <w:proofErr w:type="spellEnd"/>
      <w:r w:rsidRPr="0003035E">
        <w:rPr>
          <w:rFonts w:eastAsia="Times New Roman" w:cs="Times New Roman"/>
        </w:rPr>
        <w:t xml:space="preserve"> an evaluation of </w:t>
      </w:r>
      <w:proofErr w:type="spellStart"/>
      <w:r w:rsidRPr="0003035E">
        <w:rPr>
          <w:rFonts w:eastAsia="Times New Roman" w:cs="Times New Roman"/>
        </w:rPr>
        <w:t>tulsa’s</w:t>
      </w:r>
      <w:proofErr w:type="spellEnd"/>
      <w:r w:rsidRPr="0003035E">
        <w:rPr>
          <w:rFonts w:eastAsia="Times New Roman" w:cs="Times New Roman"/>
        </w:rPr>
        <w:t xml:space="preserve"> pre-k program. </w:t>
      </w:r>
      <w:r w:rsidRPr="0003035E">
        <w:rPr>
          <w:rFonts w:eastAsia="Times New Roman" w:cs="Times New Roman"/>
          <w:i/>
          <w:iCs/>
        </w:rPr>
        <w:t>Journal of Human Resources</w:t>
      </w:r>
      <w:r w:rsidRPr="0003035E">
        <w:rPr>
          <w:rFonts w:eastAsia="Times New Roman" w:cs="Times New Roman"/>
        </w:rPr>
        <w:t xml:space="preserve">, </w:t>
      </w:r>
      <w:r w:rsidRPr="0003035E">
        <w:rPr>
          <w:rFonts w:eastAsia="Times New Roman" w:cs="Times New Roman"/>
          <w:i/>
          <w:iCs/>
        </w:rPr>
        <w:t>40</w:t>
      </w:r>
      <w:r w:rsidRPr="0003035E">
        <w:rPr>
          <w:rFonts w:eastAsia="Times New Roman" w:cs="Times New Roman"/>
        </w:rPr>
        <w:t>(3), 533–558.</w:t>
      </w:r>
    </w:p>
    <w:p w14:paraId="46FE5CFD" w14:textId="77777777" w:rsidR="0053232A" w:rsidRPr="0003035E" w:rsidRDefault="0053232A" w:rsidP="0053232A">
      <w:pPr>
        <w:ind w:left="475" w:hanging="475"/>
        <w:rPr>
          <w:rFonts w:eastAsia="Times New Roman" w:cs="Times New Roman"/>
        </w:rPr>
      </w:pPr>
      <w:r w:rsidRPr="0003035E">
        <w:rPr>
          <w:rFonts w:eastAsia="Times New Roman" w:cs="Times New Roman"/>
        </w:rPr>
        <w:t xml:space="preserve">Harding, D. J. (2003). Counterfactual Models of Neighborhood Effects: The Effect of Neighborhood Poverty on Dropping out and Teenage Pregnancy. </w:t>
      </w:r>
      <w:r w:rsidRPr="0003035E">
        <w:rPr>
          <w:rFonts w:eastAsia="Times New Roman" w:cs="Times New Roman"/>
          <w:i/>
          <w:iCs/>
        </w:rPr>
        <w:t>American Journal of Sociology</w:t>
      </w:r>
      <w:r w:rsidRPr="0003035E">
        <w:rPr>
          <w:rFonts w:eastAsia="Times New Roman" w:cs="Times New Roman"/>
        </w:rPr>
        <w:t xml:space="preserve">, </w:t>
      </w:r>
      <w:r w:rsidRPr="0003035E">
        <w:rPr>
          <w:rFonts w:eastAsia="Times New Roman" w:cs="Times New Roman"/>
          <w:i/>
          <w:iCs/>
        </w:rPr>
        <w:t>109</w:t>
      </w:r>
      <w:r w:rsidRPr="0003035E">
        <w:rPr>
          <w:rFonts w:eastAsia="Times New Roman" w:cs="Times New Roman"/>
        </w:rPr>
        <w:t>(3), 676–719.</w:t>
      </w:r>
    </w:p>
    <w:p w14:paraId="27422FFA" w14:textId="77777777" w:rsidR="0053232A" w:rsidRPr="0003035E" w:rsidRDefault="0053232A" w:rsidP="0053232A">
      <w:pPr>
        <w:ind w:left="475" w:hanging="475"/>
        <w:rPr>
          <w:rFonts w:eastAsia="Times New Roman" w:cs="Times New Roman"/>
        </w:rPr>
      </w:pPr>
      <w:r w:rsidRPr="0003035E">
        <w:rPr>
          <w:rFonts w:eastAsia="Times New Roman" w:cs="Times New Roman"/>
        </w:rPr>
        <w:t xml:space="preserve">Heckman, J. J. (2005). The scientific model of causality. </w:t>
      </w:r>
      <w:r w:rsidRPr="0003035E">
        <w:rPr>
          <w:rFonts w:eastAsia="Times New Roman" w:cs="Times New Roman"/>
          <w:i/>
          <w:iCs/>
        </w:rPr>
        <w:t>Sociological Methodology</w:t>
      </w:r>
      <w:r w:rsidRPr="0003035E">
        <w:rPr>
          <w:rFonts w:eastAsia="Times New Roman" w:cs="Times New Roman"/>
        </w:rPr>
        <w:t xml:space="preserve">, </w:t>
      </w:r>
      <w:r w:rsidRPr="0003035E">
        <w:rPr>
          <w:rFonts w:eastAsia="Times New Roman" w:cs="Times New Roman"/>
          <w:i/>
          <w:iCs/>
        </w:rPr>
        <w:t>35</w:t>
      </w:r>
      <w:r w:rsidRPr="0003035E">
        <w:rPr>
          <w:rFonts w:eastAsia="Times New Roman" w:cs="Times New Roman"/>
        </w:rPr>
        <w:t>(1), 1–97.</w:t>
      </w:r>
    </w:p>
    <w:p w14:paraId="31374A09" w14:textId="77777777" w:rsidR="0053232A" w:rsidRPr="0003035E" w:rsidRDefault="0053232A" w:rsidP="0053232A">
      <w:pPr>
        <w:ind w:left="475" w:hanging="475"/>
        <w:rPr>
          <w:rFonts w:eastAsia="Times New Roman" w:cs="Times New Roman"/>
        </w:rPr>
      </w:pPr>
      <w:proofErr w:type="spellStart"/>
      <w:r w:rsidRPr="0003035E">
        <w:rPr>
          <w:rFonts w:eastAsia="Times New Roman" w:cs="Times New Roman"/>
        </w:rPr>
        <w:t>Hernán</w:t>
      </w:r>
      <w:proofErr w:type="spellEnd"/>
      <w:r w:rsidRPr="0003035E">
        <w:rPr>
          <w:rFonts w:eastAsia="Times New Roman" w:cs="Times New Roman"/>
        </w:rPr>
        <w:t>, M. A., Hernández-</w:t>
      </w:r>
      <w:proofErr w:type="spellStart"/>
      <w:r w:rsidRPr="0003035E">
        <w:rPr>
          <w:rFonts w:eastAsia="Times New Roman" w:cs="Times New Roman"/>
        </w:rPr>
        <w:t>Díaz</w:t>
      </w:r>
      <w:proofErr w:type="spellEnd"/>
      <w:r w:rsidRPr="0003035E">
        <w:rPr>
          <w:rFonts w:eastAsia="Times New Roman" w:cs="Times New Roman"/>
        </w:rPr>
        <w:t xml:space="preserve">, S., &amp; Robins, J. M. (2004). A Structural Approach to Selection Bias: </w:t>
      </w:r>
      <w:r w:rsidRPr="0003035E">
        <w:rPr>
          <w:rFonts w:eastAsia="Times New Roman" w:cs="Times New Roman"/>
          <w:i/>
          <w:iCs/>
        </w:rPr>
        <w:t>Epidemiology</w:t>
      </w:r>
      <w:r w:rsidRPr="0003035E">
        <w:rPr>
          <w:rFonts w:eastAsia="Times New Roman" w:cs="Times New Roman"/>
        </w:rPr>
        <w:t xml:space="preserve">, </w:t>
      </w:r>
      <w:r w:rsidRPr="0003035E">
        <w:rPr>
          <w:rFonts w:eastAsia="Times New Roman" w:cs="Times New Roman"/>
          <w:i/>
          <w:iCs/>
        </w:rPr>
        <w:t>15</w:t>
      </w:r>
      <w:r w:rsidRPr="0003035E">
        <w:rPr>
          <w:rFonts w:eastAsia="Times New Roman" w:cs="Times New Roman"/>
        </w:rPr>
        <w:t>(5), 615–625. http://doi.org/10.1097/01.ede.0000135174.63482.43</w:t>
      </w:r>
    </w:p>
    <w:p w14:paraId="3120084C" w14:textId="77777777" w:rsidR="0053232A" w:rsidRPr="0003035E" w:rsidRDefault="0053232A" w:rsidP="0053232A">
      <w:pPr>
        <w:ind w:left="475" w:hanging="475"/>
        <w:rPr>
          <w:rFonts w:eastAsia="Times New Roman" w:cs="Times New Roman"/>
        </w:rPr>
      </w:pPr>
      <w:proofErr w:type="spellStart"/>
      <w:r w:rsidRPr="0003035E">
        <w:rPr>
          <w:rFonts w:eastAsia="Times New Roman" w:cs="Times New Roman"/>
        </w:rPr>
        <w:t>Hernán</w:t>
      </w:r>
      <w:proofErr w:type="spellEnd"/>
      <w:r w:rsidRPr="0003035E">
        <w:rPr>
          <w:rFonts w:eastAsia="Times New Roman" w:cs="Times New Roman"/>
        </w:rPr>
        <w:t>, M. A., Hernández-</w:t>
      </w:r>
      <w:proofErr w:type="spellStart"/>
      <w:r w:rsidRPr="0003035E">
        <w:rPr>
          <w:rFonts w:eastAsia="Times New Roman" w:cs="Times New Roman"/>
        </w:rPr>
        <w:t>Díaz</w:t>
      </w:r>
      <w:proofErr w:type="spellEnd"/>
      <w:r w:rsidRPr="0003035E">
        <w:rPr>
          <w:rFonts w:eastAsia="Times New Roman" w:cs="Times New Roman"/>
        </w:rPr>
        <w:t xml:space="preserve">, S., </w:t>
      </w:r>
      <w:proofErr w:type="spellStart"/>
      <w:r w:rsidRPr="0003035E">
        <w:rPr>
          <w:rFonts w:eastAsia="Times New Roman" w:cs="Times New Roman"/>
        </w:rPr>
        <w:t>Werler</w:t>
      </w:r>
      <w:proofErr w:type="spellEnd"/>
      <w:r w:rsidRPr="0003035E">
        <w:rPr>
          <w:rFonts w:eastAsia="Times New Roman" w:cs="Times New Roman"/>
        </w:rPr>
        <w:t xml:space="preserve">, M. M., &amp; Mitchell, A. A. (2002). Causal knowledge as a prerequisite for confounding evaluation: an application to birth defects epidemiology. </w:t>
      </w:r>
      <w:r w:rsidRPr="0003035E">
        <w:rPr>
          <w:rFonts w:eastAsia="Times New Roman" w:cs="Times New Roman"/>
          <w:i/>
          <w:iCs/>
        </w:rPr>
        <w:t>American Journal of Epidemiology</w:t>
      </w:r>
      <w:r w:rsidRPr="0003035E">
        <w:rPr>
          <w:rFonts w:eastAsia="Times New Roman" w:cs="Times New Roman"/>
        </w:rPr>
        <w:t xml:space="preserve">, </w:t>
      </w:r>
      <w:r w:rsidRPr="0003035E">
        <w:rPr>
          <w:rFonts w:eastAsia="Times New Roman" w:cs="Times New Roman"/>
          <w:i/>
          <w:iCs/>
        </w:rPr>
        <w:t>155</w:t>
      </w:r>
      <w:r w:rsidRPr="0003035E">
        <w:rPr>
          <w:rFonts w:eastAsia="Times New Roman" w:cs="Times New Roman"/>
        </w:rPr>
        <w:t>(2), 176–184.</w:t>
      </w:r>
    </w:p>
    <w:p w14:paraId="34EB1AF6" w14:textId="77777777" w:rsidR="0053232A" w:rsidRPr="0003035E" w:rsidRDefault="0053232A" w:rsidP="0053232A">
      <w:pPr>
        <w:ind w:left="475" w:hanging="475"/>
        <w:rPr>
          <w:rFonts w:eastAsia="Times New Roman" w:cs="Times New Roman"/>
        </w:rPr>
      </w:pPr>
      <w:proofErr w:type="spellStart"/>
      <w:r w:rsidRPr="0003035E">
        <w:rPr>
          <w:rFonts w:eastAsia="Times New Roman" w:cs="Times New Roman"/>
        </w:rPr>
        <w:t>Hernan</w:t>
      </w:r>
      <w:proofErr w:type="spellEnd"/>
      <w:r w:rsidRPr="0003035E">
        <w:rPr>
          <w:rFonts w:eastAsia="Times New Roman" w:cs="Times New Roman"/>
        </w:rPr>
        <w:t xml:space="preserve">, M. A., &amp; Robins, J. M. (Forthcoming). </w:t>
      </w:r>
      <w:r w:rsidRPr="0003035E">
        <w:rPr>
          <w:rFonts w:eastAsia="Times New Roman" w:cs="Times New Roman"/>
          <w:i/>
          <w:iCs/>
        </w:rPr>
        <w:t>Causal inference</w:t>
      </w:r>
      <w:r w:rsidRPr="0003035E">
        <w:rPr>
          <w:rFonts w:eastAsia="Times New Roman" w:cs="Times New Roman"/>
        </w:rPr>
        <w:t>. Boca Raton: Chapman Hall/CRC.</w:t>
      </w:r>
    </w:p>
    <w:p w14:paraId="3A76108E" w14:textId="77777777" w:rsidR="0053232A" w:rsidRPr="0003035E" w:rsidRDefault="0053232A" w:rsidP="0053232A">
      <w:pPr>
        <w:ind w:left="475" w:hanging="475"/>
        <w:rPr>
          <w:rFonts w:eastAsia="Times New Roman" w:cs="Times New Roman"/>
        </w:rPr>
      </w:pPr>
      <w:r w:rsidRPr="0003035E">
        <w:rPr>
          <w:rFonts w:eastAsia="Times New Roman" w:cs="Times New Roman"/>
        </w:rPr>
        <w:t xml:space="preserve">Holland, P. W. (1986). Statistics and causal inference. </w:t>
      </w:r>
      <w:r w:rsidRPr="0003035E">
        <w:rPr>
          <w:rFonts w:eastAsia="Times New Roman" w:cs="Times New Roman"/>
          <w:i/>
          <w:iCs/>
        </w:rPr>
        <w:t>Journal of the American Statistical Association</w:t>
      </w:r>
      <w:r w:rsidRPr="0003035E">
        <w:rPr>
          <w:rFonts w:eastAsia="Times New Roman" w:cs="Times New Roman"/>
        </w:rPr>
        <w:t xml:space="preserve">, </w:t>
      </w:r>
      <w:r w:rsidRPr="0003035E">
        <w:rPr>
          <w:rFonts w:eastAsia="Times New Roman" w:cs="Times New Roman"/>
          <w:i/>
          <w:iCs/>
        </w:rPr>
        <w:t>81</w:t>
      </w:r>
      <w:r w:rsidRPr="0003035E">
        <w:rPr>
          <w:rFonts w:eastAsia="Times New Roman" w:cs="Times New Roman"/>
        </w:rPr>
        <w:t>(396), 945–960.</w:t>
      </w:r>
    </w:p>
    <w:p w14:paraId="5E65F279" w14:textId="77777777" w:rsidR="0053232A" w:rsidRPr="0003035E" w:rsidRDefault="0053232A" w:rsidP="0053232A">
      <w:pPr>
        <w:ind w:left="475" w:hanging="475"/>
        <w:rPr>
          <w:rFonts w:eastAsia="Times New Roman" w:cs="Times New Roman"/>
        </w:rPr>
      </w:pPr>
      <w:proofErr w:type="spellStart"/>
      <w:r w:rsidRPr="0003035E">
        <w:rPr>
          <w:rFonts w:eastAsia="Times New Roman" w:cs="Times New Roman"/>
        </w:rPr>
        <w:t>Hoxby</w:t>
      </w:r>
      <w:proofErr w:type="spellEnd"/>
      <w:r w:rsidRPr="0003035E">
        <w:rPr>
          <w:rFonts w:eastAsia="Times New Roman" w:cs="Times New Roman"/>
        </w:rPr>
        <w:t xml:space="preserve">, C. M. (2000). Does competition among public schools benefit students and taxpayers? </w:t>
      </w:r>
      <w:r w:rsidRPr="0003035E">
        <w:rPr>
          <w:rFonts w:eastAsia="Times New Roman" w:cs="Times New Roman"/>
          <w:i/>
          <w:iCs/>
        </w:rPr>
        <w:t>American Economic Review</w:t>
      </w:r>
      <w:r w:rsidRPr="0003035E">
        <w:rPr>
          <w:rFonts w:eastAsia="Times New Roman" w:cs="Times New Roman"/>
        </w:rPr>
        <w:t>, 1209–1238.</w:t>
      </w:r>
    </w:p>
    <w:p w14:paraId="0813F276" w14:textId="77777777" w:rsidR="0053232A" w:rsidRPr="0003035E" w:rsidRDefault="0053232A" w:rsidP="0053232A">
      <w:pPr>
        <w:ind w:left="475" w:hanging="475"/>
        <w:rPr>
          <w:rFonts w:eastAsia="Times New Roman" w:cs="Times New Roman"/>
        </w:rPr>
      </w:pPr>
      <w:r w:rsidRPr="0003035E">
        <w:rPr>
          <w:rFonts w:eastAsia="Times New Roman" w:cs="Times New Roman"/>
        </w:rPr>
        <w:t xml:space="preserve">Imai, K., </w:t>
      </w:r>
      <w:proofErr w:type="spellStart"/>
      <w:r w:rsidRPr="0003035E">
        <w:rPr>
          <w:rFonts w:eastAsia="Times New Roman" w:cs="Times New Roman"/>
        </w:rPr>
        <w:t>Keele</w:t>
      </w:r>
      <w:proofErr w:type="spellEnd"/>
      <w:r w:rsidRPr="0003035E">
        <w:rPr>
          <w:rFonts w:eastAsia="Times New Roman" w:cs="Times New Roman"/>
        </w:rPr>
        <w:t xml:space="preserve">, L., </w:t>
      </w:r>
      <w:proofErr w:type="spellStart"/>
      <w:r w:rsidRPr="0003035E">
        <w:rPr>
          <w:rFonts w:eastAsia="Times New Roman" w:cs="Times New Roman"/>
        </w:rPr>
        <w:t>Tingley</w:t>
      </w:r>
      <w:proofErr w:type="spellEnd"/>
      <w:r w:rsidRPr="0003035E">
        <w:rPr>
          <w:rFonts w:eastAsia="Times New Roman" w:cs="Times New Roman"/>
        </w:rPr>
        <w:t xml:space="preserve">, D., &amp; Yamamoto, T. (2011). Unpacking the Black Box of Causality: Learning about Causal Mechanisms from Experimental and Observational Studies. </w:t>
      </w:r>
      <w:r w:rsidRPr="0003035E">
        <w:rPr>
          <w:rFonts w:eastAsia="Times New Roman" w:cs="Times New Roman"/>
          <w:i/>
          <w:iCs/>
        </w:rPr>
        <w:t>American Political Science Review</w:t>
      </w:r>
      <w:r w:rsidRPr="0003035E">
        <w:rPr>
          <w:rFonts w:eastAsia="Times New Roman" w:cs="Times New Roman"/>
        </w:rPr>
        <w:t xml:space="preserve">, </w:t>
      </w:r>
      <w:r w:rsidRPr="0003035E">
        <w:rPr>
          <w:rFonts w:eastAsia="Times New Roman" w:cs="Times New Roman"/>
          <w:i/>
          <w:iCs/>
        </w:rPr>
        <w:t>105</w:t>
      </w:r>
      <w:r w:rsidRPr="0003035E">
        <w:rPr>
          <w:rFonts w:eastAsia="Times New Roman" w:cs="Times New Roman"/>
        </w:rPr>
        <w:t>(04), 765–789. http://doi.org/10.1017/S0003055411000414</w:t>
      </w:r>
    </w:p>
    <w:p w14:paraId="00495EEE" w14:textId="77777777" w:rsidR="0053232A" w:rsidRPr="0003035E" w:rsidRDefault="0053232A" w:rsidP="0053232A">
      <w:pPr>
        <w:ind w:left="475" w:hanging="475"/>
        <w:rPr>
          <w:rFonts w:eastAsia="Times New Roman" w:cs="Times New Roman"/>
        </w:rPr>
      </w:pPr>
      <w:proofErr w:type="spellStart"/>
      <w:r w:rsidRPr="0003035E">
        <w:rPr>
          <w:rFonts w:eastAsia="Times New Roman" w:cs="Times New Roman"/>
        </w:rPr>
        <w:t>Imbens</w:t>
      </w:r>
      <w:proofErr w:type="spellEnd"/>
      <w:r w:rsidRPr="0003035E">
        <w:rPr>
          <w:rFonts w:eastAsia="Times New Roman" w:cs="Times New Roman"/>
        </w:rPr>
        <w:t xml:space="preserve">, G. W., &amp; Lemieux, T. (2008). Regression discontinuity designs: A guide to practice. </w:t>
      </w:r>
      <w:r w:rsidRPr="0003035E">
        <w:rPr>
          <w:rFonts w:eastAsia="Times New Roman" w:cs="Times New Roman"/>
          <w:i/>
          <w:iCs/>
        </w:rPr>
        <w:t>Journal of Econometrics</w:t>
      </w:r>
      <w:r w:rsidRPr="0003035E">
        <w:rPr>
          <w:rFonts w:eastAsia="Times New Roman" w:cs="Times New Roman"/>
        </w:rPr>
        <w:t xml:space="preserve">, </w:t>
      </w:r>
      <w:r w:rsidRPr="0003035E">
        <w:rPr>
          <w:rFonts w:eastAsia="Times New Roman" w:cs="Times New Roman"/>
          <w:i/>
          <w:iCs/>
        </w:rPr>
        <w:t>142</w:t>
      </w:r>
      <w:r w:rsidRPr="0003035E">
        <w:rPr>
          <w:rFonts w:eastAsia="Times New Roman" w:cs="Times New Roman"/>
        </w:rPr>
        <w:t>(2), 615–635. http://doi.org/10.1016/j.jeconom.2007.05.001</w:t>
      </w:r>
    </w:p>
    <w:p w14:paraId="19CB7D92" w14:textId="77777777" w:rsidR="0053232A" w:rsidRPr="0003035E" w:rsidRDefault="0053232A" w:rsidP="0053232A">
      <w:pPr>
        <w:ind w:left="475" w:hanging="475"/>
        <w:rPr>
          <w:rFonts w:eastAsia="Times New Roman" w:cs="Times New Roman"/>
        </w:rPr>
      </w:pPr>
      <w:r w:rsidRPr="0003035E">
        <w:rPr>
          <w:rFonts w:eastAsia="Times New Roman" w:cs="Times New Roman"/>
        </w:rPr>
        <w:t xml:space="preserve">Katz, L. F., Kling, J. R., &amp; </w:t>
      </w:r>
      <w:proofErr w:type="spellStart"/>
      <w:r w:rsidRPr="0003035E">
        <w:rPr>
          <w:rFonts w:eastAsia="Times New Roman" w:cs="Times New Roman"/>
        </w:rPr>
        <w:t>Liebman</w:t>
      </w:r>
      <w:proofErr w:type="spellEnd"/>
      <w:r w:rsidRPr="0003035E">
        <w:rPr>
          <w:rFonts w:eastAsia="Times New Roman" w:cs="Times New Roman"/>
        </w:rPr>
        <w:t xml:space="preserve">, J. B. (2000). </w:t>
      </w:r>
      <w:r w:rsidRPr="0003035E">
        <w:rPr>
          <w:rFonts w:eastAsia="Times New Roman" w:cs="Times New Roman"/>
          <w:i/>
          <w:iCs/>
        </w:rPr>
        <w:t>Moving to opportunity in Boston: Early results of a randomized mobility experiment</w:t>
      </w:r>
      <w:r w:rsidRPr="0003035E">
        <w:rPr>
          <w:rFonts w:eastAsia="Times New Roman" w:cs="Times New Roman"/>
        </w:rPr>
        <w:t>. National Bureau of Economic Research. Retrieved from http://www.nber.org/papers/w7973</w:t>
      </w:r>
    </w:p>
    <w:p w14:paraId="2E9D0ADB" w14:textId="77777777" w:rsidR="0053232A" w:rsidRPr="0003035E" w:rsidRDefault="0053232A" w:rsidP="0053232A">
      <w:pPr>
        <w:ind w:left="475" w:hanging="475"/>
        <w:rPr>
          <w:rFonts w:eastAsia="Times New Roman" w:cs="Times New Roman"/>
        </w:rPr>
      </w:pPr>
      <w:r w:rsidRPr="0003035E">
        <w:rPr>
          <w:rFonts w:eastAsia="Times New Roman" w:cs="Times New Roman"/>
        </w:rPr>
        <w:t xml:space="preserve">Meyer, B. D. (1995). Natural and quasi-experiments in economics. </w:t>
      </w:r>
      <w:r w:rsidRPr="0003035E">
        <w:rPr>
          <w:rFonts w:eastAsia="Times New Roman" w:cs="Times New Roman"/>
          <w:i/>
          <w:iCs/>
        </w:rPr>
        <w:t>Journal of Business &amp; Economic Statistics</w:t>
      </w:r>
      <w:r w:rsidRPr="0003035E">
        <w:rPr>
          <w:rFonts w:eastAsia="Times New Roman" w:cs="Times New Roman"/>
        </w:rPr>
        <w:t xml:space="preserve">, </w:t>
      </w:r>
      <w:r w:rsidRPr="0003035E">
        <w:rPr>
          <w:rFonts w:eastAsia="Times New Roman" w:cs="Times New Roman"/>
          <w:i/>
          <w:iCs/>
        </w:rPr>
        <w:t>13</w:t>
      </w:r>
      <w:r w:rsidRPr="0003035E">
        <w:rPr>
          <w:rFonts w:eastAsia="Times New Roman" w:cs="Times New Roman"/>
        </w:rPr>
        <w:t>(2), 151–161.</w:t>
      </w:r>
    </w:p>
    <w:p w14:paraId="59B639F9" w14:textId="77777777" w:rsidR="0053232A" w:rsidRPr="0003035E" w:rsidRDefault="0053232A" w:rsidP="0053232A">
      <w:pPr>
        <w:ind w:left="475" w:hanging="475"/>
        <w:rPr>
          <w:rFonts w:eastAsia="Times New Roman" w:cs="Times New Roman"/>
        </w:rPr>
      </w:pPr>
      <w:r w:rsidRPr="0003035E">
        <w:rPr>
          <w:rFonts w:eastAsia="Times New Roman" w:cs="Times New Roman"/>
        </w:rPr>
        <w:t xml:space="preserve">Morgan, S. L., &amp; Winship, C. (2014). </w:t>
      </w:r>
      <w:r w:rsidRPr="0003035E">
        <w:rPr>
          <w:rFonts w:eastAsia="Times New Roman" w:cs="Times New Roman"/>
          <w:i/>
          <w:iCs/>
        </w:rPr>
        <w:t>Counterfactuals and causal inference</w:t>
      </w:r>
      <w:r w:rsidRPr="0003035E">
        <w:rPr>
          <w:rFonts w:eastAsia="Times New Roman" w:cs="Times New Roman"/>
        </w:rPr>
        <w:t xml:space="preserve">. Cambridge University Press. </w:t>
      </w:r>
    </w:p>
    <w:p w14:paraId="3EDADD46" w14:textId="77777777" w:rsidR="0053232A" w:rsidRPr="0003035E" w:rsidRDefault="0053232A" w:rsidP="0053232A">
      <w:pPr>
        <w:ind w:left="475" w:hanging="475"/>
        <w:rPr>
          <w:rFonts w:eastAsia="Times New Roman" w:cs="Times New Roman"/>
        </w:rPr>
      </w:pPr>
      <w:r w:rsidRPr="0003035E">
        <w:rPr>
          <w:rFonts w:eastAsia="Times New Roman" w:cs="Times New Roman"/>
        </w:rPr>
        <w:t xml:space="preserve">Murnane, R. J., &amp; Willett, J. B. (2010). </w:t>
      </w:r>
      <w:r w:rsidRPr="0003035E">
        <w:rPr>
          <w:rFonts w:eastAsia="Times New Roman" w:cs="Times New Roman"/>
          <w:i/>
          <w:iCs/>
        </w:rPr>
        <w:t>Methods matter: Improving causal inference in educational and social science research</w:t>
      </w:r>
      <w:r w:rsidRPr="0003035E">
        <w:rPr>
          <w:rFonts w:eastAsia="Times New Roman" w:cs="Times New Roman"/>
        </w:rPr>
        <w:t xml:space="preserve">. Oxford University Press. </w:t>
      </w:r>
    </w:p>
    <w:p w14:paraId="6D679BC5" w14:textId="77777777" w:rsidR="0053232A" w:rsidRPr="0003035E" w:rsidRDefault="0053232A" w:rsidP="0053232A">
      <w:pPr>
        <w:ind w:left="475" w:hanging="475"/>
        <w:rPr>
          <w:rFonts w:eastAsia="Times New Roman" w:cs="Times New Roman"/>
        </w:rPr>
      </w:pPr>
      <w:r w:rsidRPr="0003035E">
        <w:rPr>
          <w:rFonts w:eastAsia="Times New Roman" w:cs="Times New Roman"/>
        </w:rPr>
        <w:t xml:space="preserve">Pager, D. (2003). The Mark of a Criminal Record. </w:t>
      </w:r>
      <w:r w:rsidRPr="0003035E">
        <w:rPr>
          <w:rFonts w:eastAsia="Times New Roman" w:cs="Times New Roman"/>
          <w:i/>
          <w:iCs/>
        </w:rPr>
        <w:t>American Journal of Sociology</w:t>
      </w:r>
      <w:r w:rsidRPr="0003035E">
        <w:rPr>
          <w:rFonts w:eastAsia="Times New Roman" w:cs="Times New Roman"/>
        </w:rPr>
        <w:t xml:space="preserve">, </w:t>
      </w:r>
      <w:r w:rsidRPr="0003035E">
        <w:rPr>
          <w:rFonts w:eastAsia="Times New Roman" w:cs="Times New Roman"/>
          <w:i/>
          <w:iCs/>
        </w:rPr>
        <w:t>108</w:t>
      </w:r>
      <w:r w:rsidRPr="0003035E">
        <w:rPr>
          <w:rFonts w:eastAsia="Times New Roman" w:cs="Times New Roman"/>
        </w:rPr>
        <w:t>(5), 937–975.</w:t>
      </w:r>
    </w:p>
    <w:p w14:paraId="3ACFD080" w14:textId="77777777" w:rsidR="0053232A" w:rsidRPr="0003035E" w:rsidRDefault="0053232A" w:rsidP="0053232A">
      <w:pPr>
        <w:ind w:left="475" w:hanging="475"/>
        <w:rPr>
          <w:rFonts w:eastAsia="Times New Roman" w:cs="Times New Roman"/>
        </w:rPr>
      </w:pPr>
      <w:r w:rsidRPr="0003035E">
        <w:rPr>
          <w:rFonts w:eastAsia="Times New Roman" w:cs="Times New Roman"/>
        </w:rPr>
        <w:t xml:space="preserve">Pearl, J. (2009). </w:t>
      </w:r>
      <w:r w:rsidRPr="0003035E">
        <w:rPr>
          <w:rFonts w:eastAsia="Times New Roman" w:cs="Times New Roman"/>
          <w:i/>
          <w:iCs/>
        </w:rPr>
        <w:t>Causality</w:t>
      </w:r>
      <w:r w:rsidRPr="0003035E">
        <w:rPr>
          <w:rFonts w:eastAsia="Times New Roman" w:cs="Times New Roman"/>
        </w:rPr>
        <w:t xml:space="preserve">. Cambridge university press. </w:t>
      </w:r>
    </w:p>
    <w:p w14:paraId="517E82C2" w14:textId="77777777" w:rsidR="0053232A" w:rsidRPr="0003035E" w:rsidRDefault="0053232A" w:rsidP="0053232A">
      <w:pPr>
        <w:ind w:left="475" w:hanging="475"/>
        <w:rPr>
          <w:rFonts w:eastAsia="Times New Roman" w:cs="Times New Roman"/>
        </w:rPr>
      </w:pPr>
      <w:r w:rsidRPr="0003035E">
        <w:rPr>
          <w:rFonts w:eastAsia="Times New Roman" w:cs="Times New Roman"/>
        </w:rPr>
        <w:t xml:space="preserve">Rosenbaum, P. R., &amp; Rubin, D. B. (1983). The central role of the propensity score in observational studies for causal effects. </w:t>
      </w:r>
      <w:proofErr w:type="spellStart"/>
      <w:r w:rsidRPr="0003035E">
        <w:rPr>
          <w:rFonts w:eastAsia="Times New Roman" w:cs="Times New Roman"/>
          <w:i/>
          <w:iCs/>
        </w:rPr>
        <w:t>Biometrika</w:t>
      </w:r>
      <w:proofErr w:type="spellEnd"/>
      <w:r w:rsidRPr="0003035E">
        <w:rPr>
          <w:rFonts w:eastAsia="Times New Roman" w:cs="Times New Roman"/>
        </w:rPr>
        <w:t xml:space="preserve">, </w:t>
      </w:r>
      <w:r w:rsidRPr="0003035E">
        <w:rPr>
          <w:rFonts w:eastAsia="Times New Roman" w:cs="Times New Roman"/>
          <w:i/>
          <w:iCs/>
        </w:rPr>
        <w:t>70</w:t>
      </w:r>
      <w:r w:rsidRPr="0003035E">
        <w:rPr>
          <w:rFonts w:eastAsia="Times New Roman" w:cs="Times New Roman"/>
        </w:rPr>
        <w:t>(1), 41–55.</w:t>
      </w:r>
    </w:p>
    <w:p w14:paraId="7D6B3885" w14:textId="77777777" w:rsidR="0053232A" w:rsidRPr="0003035E" w:rsidRDefault="0053232A" w:rsidP="0053232A">
      <w:pPr>
        <w:ind w:left="475" w:hanging="475"/>
        <w:rPr>
          <w:rFonts w:eastAsia="Times New Roman" w:cs="Times New Roman"/>
        </w:rPr>
      </w:pPr>
      <w:r w:rsidRPr="0003035E">
        <w:rPr>
          <w:rFonts w:eastAsia="Times New Roman" w:cs="Times New Roman"/>
        </w:rPr>
        <w:t xml:space="preserve">Rothstein, J. (2005). </w:t>
      </w:r>
      <w:r w:rsidRPr="0003035E">
        <w:rPr>
          <w:rFonts w:eastAsia="Times New Roman" w:cs="Times New Roman"/>
          <w:i/>
          <w:iCs/>
        </w:rPr>
        <w:t xml:space="preserve">Does competition among public schools benefit students and taxpayers? A comment on </w:t>
      </w:r>
      <w:proofErr w:type="spellStart"/>
      <w:r w:rsidRPr="0003035E">
        <w:rPr>
          <w:rFonts w:eastAsia="Times New Roman" w:cs="Times New Roman"/>
          <w:i/>
          <w:iCs/>
        </w:rPr>
        <w:t>Hoxby</w:t>
      </w:r>
      <w:proofErr w:type="spellEnd"/>
      <w:r w:rsidRPr="0003035E">
        <w:rPr>
          <w:rFonts w:eastAsia="Times New Roman" w:cs="Times New Roman"/>
          <w:i/>
          <w:iCs/>
        </w:rPr>
        <w:t xml:space="preserve"> (2000)</w:t>
      </w:r>
      <w:r w:rsidRPr="0003035E">
        <w:rPr>
          <w:rFonts w:eastAsia="Times New Roman" w:cs="Times New Roman"/>
        </w:rPr>
        <w:t>. National Bureau of Economic Research. Retrieved from http://www.nber.org/papers/w11215</w:t>
      </w:r>
    </w:p>
    <w:p w14:paraId="156443AD" w14:textId="77777777" w:rsidR="0053232A" w:rsidRPr="0003035E" w:rsidRDefault="0053232A" w:rsidP="0053232A">
      <w:pPr>
        <w:ind w:left="475" w:hanging="475"/>
        <w:rPr>
          <w:rFonts w:eastAsia="Times New Roman" w:cs="Times New Roman"/>
        </w:rPr>
      </w:pPr>
      <w:r w:rsidRPr="0003035E">
        <w:rPr>
          <w:rFonts w:eastAsia="Times New Roman" w:cs="Times New Roman"/>
        </w:rPr>
        <w:t xml:space="preserve">Rubin, D. B. (2008). For objective causal inference, design trumps analysis. </w:t>
      </w:r>
      <w:r w:rsidRPr="0003035E">
        <w:rPr>
          <w:rFonts w:eastAsia="Times New Roman" w:cs="Times New Roman"/>
          <w:i/>
          <w:iCs/>
        </w:rPr>
        <w:t>The Annals of Applied Statistics</w:t>
      </w:r>
      <w:r w:rsidRPr="0003035E">
        <w:rPr>
          <w:rFonts w:eastAsia="Times New Roman" w:cs="Times New Roman"/>
        </w:rPr>
        <w:t>, 808–840.</w:t>
      </w:r>
    </w:p>
    <w:p w14:paraId="4284F2FA" w14:textId="77777777" w:rsidR="0053232A" w:rsidRPr="0003035E" w:rsidRDefault="0053232A" w:rsidP="0053232A">
      <w:pPr>
        <w:ind w:left="475" w:hanging="475"/>
        <w:rPr>
          <w:rFonts w:eastAsia="Times New Roman" w:cs="Times New Roman"/>
        </w:rPr>
      </w:pPr>
      <w:r w:rsidRPr="0003035E">
        <w:rPr>
          <w:rFonts w:eastAsia="Times New Roman" w:cs="Times New Roman"/>
        </w:rPr>
        <w:t xml:space="preserve">Shadish, W. R., Cook, T. D., &amp; Campbell, D. T. (2002). </w:t>
      </w:r>
      <w:r w:rsidRPr="0003035E">
        <w:rPr>
          <w:rFonts w:eastAsia="Times New Roman" w:cs="Times New Roman"/>
          <w:i/>
          <w:iCs/>
        </w:rPr>
        <w:t>Experimental and quasi-experimental designs for generalized causal inference</w:t>
      </w:r>
      <w:r w:rsidRPr="0003035E">
        <w:rPr>
          <w:rFonts w:eastAsia="Times New Roman" w:cs="Times New Roman"/>
        </w:rPr>
        <w:t xml:space="preserve">. Wadsworth </w:t>
      </w:r>
      <w:proofErr w:type="spellStart"/>
      <w:r w:rsidRPr="0003035E">
        <w:rPr>
          <w:rFonts w:eastAsia="Times New Roman" w:cs="Times New Roman"/>
        </w:rPr>
        <w:t>Cengage</w:t>
      </w:r>
      <w:proofErr w:type="spellEnd"/>
      <w:r w:rsidRPr="0003035E">
        <w:rPr>
          <w:rFonts w:eastAsia="Times New Roman" w:cs="Times New Roman"/>
        </w:rPr>
        <w:t xml:space="preserve"> learning. </w:t>
      </w:r>
    </w:p>
    <w:p w14:paraId="016A4454" w14:textId="77777777" w:rsidR="0053232A" w:rsidRPr="0003035E" w:rsidRDefault="0053232A" w:rsidP="0053232A">
      <w:pPr>
        <w:ind w:left="475" w:hanging="475"/>
        <w:rPr>
          <w:rFonts w:eastAsia="Times New Roman" w:cs="Times New Roman"/>
        </w:rPr>
      </w:pPr>
      <w:proofErr w:type="spellStart"/>
      <w:r w:rsidRPr="0003035E">
        <w:rPr>
          <w:rFonts w:eastAsia="Times New Roman" w:cs="Times New Roman"/>
        </w:rPr>
        <w:t>Valeri</w:t>
      </w:r>
      <w:proofErr w:type="spellEnd"/>
      <w:r w:rsidRPr="0003035E">
        <w:rPr>
          <w:rFonts w:eastAsia="Times New Roman" w:cs="Times New Roman"/>
        </w:rPr>
        <w:t xml:space="preserve">, L., &amp; </w:t>
      </w:r>
      <w:proofErr w:type="spellStart"/>
      <w:r w:rsidRPr="0003035E">
        <w:rPr>
          <w:rFonts w:eastAsia="Times New Roman" w:cs="Times New Roman"/>
        </w:rPr>
        <w:t>VanderWeele</w:t>
      </w:r>
      <w:proofErr w:type="spellEnd"/>
      <w:r w:rsidRPr="0003035E">
        <w:rPr>
          <w:rFonts w:eastAsia="Times New Roman" w:cs="Times New Roman"/>
        </w:rPr>
        <w:t xml:space="preserve">, T. J. (2013). Mediation analysis allowing for exposure–mediator interactions and causal interpretation: Theoretical assumptions and implementation with SAS and SPSS macros. </w:t>
      </w:r>
      <w:r w:rsidRPr="0003035E">
        <w:rPr>
          <w:rFonts w:eastAsia="Times New Roman" w:cs="Times New Roman"/>
          <w:i/>
          <w:iCs/>
        </w:rPr>
        <w:t>Psychological Methods</w:t>
      </w:r>
      <w:r w:rsidRPr="0003035E">
        <w:rPr>
          <w:rFonts w:eastAsia="Times New Roman" w:cs="Times New Roman"/>
        </w:rPr>
        <w:t xml:space="preserve">, </w:t>
      </w:r>
      <w:r w:rsidRPr="0003035E">
        <w:rPr>
          <w:rFonts w:eastAsia="Times New Roman" w:cs="Times New Roman"/>
          <w:i/>
          <w:iCs/>
        </w:rPr>
        <w:t>18</w:t>
      </w:r>
      <w:r w:rsidRPr="0003035E">
        <w:rPr>
          <w:rFonts w:eastAsia="Times New Roman" w:cs="Times New Roman"/>
        </w:rPr>
        <w:t>(2), 137–150. http://doi.org/10.1037/a0031034</w:t>
      </w:r>
    </w:p>
    <w:p w14:paraId="64CC0662" w14:textId="77777777" w:rsidR="0053232A" w:rsidRPr="0003035E" w:rsidRDefault="0053232A" w:rsidP="0053232A">
      <w:pPr>
        <w:ind w:left="475" w:hanging="475"/>
        <w:rPr>
          <w:rFonts w:eastAsia="Times New Roman" w:cs="Times New Roman"/>
        </w:rPr>
      </w:pPr>
      <w:proofErr w:type="spellStart"/>
      <w:r w:rsidRPr="0003035E">
        <w:rPr>
          <w:rFonts w:eastAsia="Times New Roman" w:cs="Times New Roman"/>
        </w:rPr>
        <w:t>VanderWeele</w:t>
      </w:r>
      <w:proofErr w:type="spellEnd"/>
      <w:r w:rsidRPr="0003035E">
        <w:rPr>
          <w:rFonts w:eastAsia="Times New Roman" w:cs="Times New Roman"/>
        </w:rPr>
        <w:t xml:space="preserve">, T. (2015). </w:t>
      </w:r>
      <w:r w:rsidRPr="0003035E">
        <w:rPr>
          <w:rFonts w:eastAsia="Times New Roman" w:cs="Times New Roman"/>
          <w:i/>
          <w:iCs/>
        </w:rPr>
        <w:t>Explanation in causal inference: methods for mediation and interaction</w:t>
      </w:r>
      <w:r w:rsidRPr="0003035E">
        <w:rPr>
          <w:rFonts w:eastAsia="Times New Roman" w:cs="Times New Roman"/>
        </w:rPr>
        <w:t xml:space="preserve">. Oxford University Press. </w:t>
      </w:r>
    </w:p>
    <w:p w14:paraId="021DBC77" w14:textId="77777777" w:rsidR="0053232A" w:rsidRPr="004331BB" w:rsidRDefault="0053232A" w:rsidP="0053232A">
      <w:pPr>
        <w:ind w:left="475" w:hanging="475"/>
        <w:rPr>
          <w:rFonts w:eastAsia="Times New Roman" w:cs="Times New Roman"/>
        </w:rPr>
      </w:pPr>
      <w:r w:rsidRPr="0003035E">
        <w:rPr>
          <w:rFonts w:eastAsia="Times New Roman" w:cs="Times New Roman"/>
        </w:rPr>
        <w:t xml:space="preserve">Wooldridge, J. M. (2003). </w:t>
      </w:r>
      <w:r w:rsidRPr="0003035E">
        <w:rPr>
          <w:rFonts w:eastAsia="Times New Roman" w:cs="Times New Roman"/>
          <w:i/>
          <w:iCs/>
        </w:rPr>
        <w:t>Introductory Econometrics: A Modern Approach</w:t>
      </w:r>
      <w:r w:rsidRPr="0003035E">
        <w:rPr>
          <w:rFonts w:eastAsia="Times New Roman" w:cs="Times New Roman"/>
        </w:rPr>
        <w:t xml:space="preserve"> (2nd ed.). Cincinnati, OH: South-Western College Publishing.</w:t>
      </w:r>
    </w:p>
    <w:p w14:paraId="6361E8CB" w14:textId="385A48A2" w:rsidR="003E5344" w:rsidRPr="007059C9" w:rsidRDefault="003E5344"/>
    <w:sectPr w:rsidR="003E5344" w:rsidRPr="007059C9" w:rsidSect="008D5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7E15"/>
    <w:multiLevelType w:val="hybridMultilevel"/>
    <w:tmpl w:val="7DDC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95B1D"/>
    <w:multiLevelType w:val="hybridMultilevel"/>
    <w:tmpl w:val="590A4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2D5BD0"/>
    <w:multiLevelType w:val="hybridMultilevel"/>
    <w:tmpl w:val="1FD0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AC0792"/>
    <w:multiLevelType w:val="hybridMultilevel"/>
    <w:tmpl w:val="2C30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D297C"/>
    <w:multiLevelType w:val="hybridMultilevel"/>
    <w:tmpl w:val="43CAE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B375B5"/>
    <w:multiLevelType w:val="multilevel"/>
    <w:tmpl w:val="7DDCE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6BE6E26"/>
    <w:multiLevelType w:val="hybridMultilevel"/>
    <w:tmpl w:val="06309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433D9"/>
    <w:multiLevelType w:val="hybridMultilevel"/>
    <w:tmpl w:val="032C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26790A"/>
    <w:multiLevelType w:val="multilevel"/>
    <w:tmpl w:val="032CF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FB250D1"/>
    <w:multiLevelType w:val="hybridMultilevel"/>
    <w:tmpl w:val="54ACA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627D72"/>
    <w:multiLevelType w:val="hybridMultilevel"/>
    <w:tmpl w:val="A03CBE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BA511C"/>
    <w:multiLevelType w:val="hybridMultilevel"/>
    <w:tmpl w:val="DD14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8"/>
  </w:num>
  <w:num w:numId="5">
    <w:abstractNumId w:val="6"/>
  </w:num>
  <w:num w:numId="6">
    <w:abstractNumId w:val="3"/>
  </w:num>
  <w:num w:numId="7">
    <w:abstractNumId w:val="1"/>
  </w:num>
  <w:num w:numId="8">
    <w:abstractNumId w:val="4"/>
  </w:num>
  <w:num w:numId="9">
    <w:abstractNumId w:val="10"/>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E2"/>
    <w:rsid w:val="0001442A"/>
    <w:rsid w:val="00026596"/>
    <w:rsid w:val="0005302A"/>
    <w:rsid w:val="000741BA"/>
    <w:rsid w:val="0007459C"/>
    <w:rsid w:val="00094CA9"/>
    <w:rsid w:val="0009589A"/>
    <w:rsid w:val="000A03A5"/>
    <w:rsid w:val="000A5E19"/>
    <w:rsid w:val="000B6AF6"/>
    <w:rsid w:val="000C2A12"/>
    <w:rsid w:val="000C7520"/>
    <w:rsid w:val="000C7B6D"/>
    <w:rsid w:val="00105B63"/>
    <w:rsid w:val="001452E7"/>
    <w:rsid w:val="0016371E"/>
    <w:rsid w:val="001709F4"/>
    <w:rsid w:val="00172CD0"/>
    <w:rsid w:val="001936AB"/>
    <w:rsid w:val="001941BA"/>
    <w:rsid w:val="00194EC5"/>
    <w:rsid w:val="001A04A3"/>
    <w:rsid w:val="001B27BD"/>
    <w:rsid w:val="001D281F"/>
    <w:rsid w:val="001F5317"/>
    <w:rsid w:val="0022077A"/>
    <w:rsid w:val="00242E2F"/>
    <w:rsid w:val="002454A5"/>
    <w:rsid w:val="00246E7C"/>
    <w:rsid w:val="002475A5"/>
    <w:rsid w:val="002610EC"/>
    <w:rsid w:val="0027410B"/>
    <w:rsid w:val="002B1580"/>
    <w:rsid w:val="002F50DF"/>
    <w:rsid w:val="002F721F"/>
    <w:rsid w:val="0030470F"/>
    <w:rsid w:val="00316375"/>
    <w:rsid w:val="00317054"/>
    <w:rsid w:val="00337E6D"/>
    <w:rsid w:val="00346329"/>
    <w:rsid w:val="003531E5"/>
    <w:rsid w:val="00380274"/>
    <w:rsid w:val="00393DF9"/>
    <w:rsid w:val="003A30A0"/>
    <w:rsid w:val="003B579E"/>
    <w:rsid w:val="003E5344"/>
    <w:rsid w:val="003F063F"/>
    <w:rsid w:val="003F389C"/>
    <w:rsid w:val="00402258"/>
    <w:rsid w:val="00413A75"/>
    <w:rsid w:val="004314D1"/>
    <w:rsid w:val="00452B9B"/>
    <w:rsid w:val="004556AF"/>
    <w:rsid w:val="0047305E"/>
    <w:rsid w:val="004763BA"/>
    <w:rsid w:val="0048058F"/>
    <w:rsid w:val="00492921"/>
    <w:rsid w:val="00495FC9"/>
    <w:rsid w:val="004967E1"/>
    <w:rsid w:val="004F098E"/>
    <w:rsid w:val="004F09F6"/>
    <w:rsid w:val="004F2448"/>
    <w:rsid w:val="00507D8A"/>
    <w:rsid w:val="00525C38"/>
    <w:rsid w:val="005310A7"/>
    <w:rsid w:val="0053232A"/>
    <w:rsid w:val="00581ECC"/>
    <w:rsid w:val="0059605D"/>
    <w:rsid w:val="005C26AE"/>
    <w:rsid w:val="005D2EB2"/>
    <w:rsid w:val="005E49B2"/>
    <w:rsid w:val="005E715A"/>
    <w:rsid w:val="005F512C"/>
    <w:rsid w:val="005F72D6"/>
    <w:rsid w:val="006134E4"/>
    <w:rsid w:val="00624657"/>
    <w:rsid w:val="006275FA"/>
    <w:rsid w:val="00633F7C"/>
    <w:rsid w:val="0064326F"/>
    <w:rsid w:val="00657FC9"/>
    <w:rsid w:val="00675F91"/>
    <w:rsid w:val="006779C3"/>
    <w:rsid w:val="006811D4"/>
    <w:rsid w:val="0068279B"/>
    <w:rsid w:val="00686D7D"/>
    <w:rsid w:val="00695431"/>
    <w:rsid w:val="006A46A1"/>
    <w:rsid w:val="006B15DF"/>
    <w:rsid w:val="006B20FB"/>
    <w:rsid w:val="006B2E95"/>
    <w:rsid w:val="006C5856"/>
    <w:rsid w:val="006D3EBA"/>
    <w:rsid w:val="007042DB"/>
    <w:rsid w:val="007059C9"/>
    <w:rsid w:val="00716661"/>
    <w:rsid w:val="007220C0"/>
    <w:rsid w:val="0073182A"/>
    <w:rsid w:val="00734500"/>
    <w:rsid w:val="00736F32"/>
    <w:rsid w:val="00767FCE"/>
    <w:rsid w:val="00787B58"/>
    <w:rsid w:val="00797B66"/>
    <w:rsid w:val="007C10A1"/>
    <w:rsid w:val="007D1C42"/>
    <w:rsid w:val="007D7253"/>
    <w:rsid w:val="007E4E9E"/>
    <w:rsid w:val="007F2745"/>
    <w:rsid w:val="00807548"/>
    <w:rsid w:val="00810FB8"/>
    <w:rsid w:val="00825877"/>
    <w:rsid w:val="008306DA"/>
    <w:rsid w:val="00832DDD"/>
    <w:rsid w:val="00841142"/>
    <w:rsid w:val="008426D9"/>
    <w:rsid w:val="008431D7"/>
    <w:rsid w:val="00851C09"/>
    <w:rsid w:val="008543B5"/>
    <w:rsid w:val="00855822"/>
    <w:rsid w:val="00864211"/>
    <w:rsid w:val="00873AE5"/>
    <w:rsid w:val="008B0ECD"/>
    <w:rsid w:val="008C6000"/>
    <w:rsid w:val="008C7F6E"/>
    <w:rsid w:val="008D06E4"/>
    <w:rsid w:val="008D5838"/>
    <w:rsid w:val="008D6D3A"/>
    <w:rsid w:val="008E1993"/>
    <w:rsid w:val="008F0C05"/>
    <w:rsid w:val="00903764"/>
    <w:rsid w:val="009142C8"/>
    <w:rsid w:val="009145ED"/>
    <w:rsid w:val="009154EF"/>
    <w:rsid w:val="009221AD"/>
    <w:rsid w:val="009222B5"/>
    <w:rsid w:val="00925E14"/>
    <w:rsid w:val="00940CC2"/>
    <w:rsid w:val="009524B6"/>
    <w:rsid w:val="009579E2"/>
    <w:rsid w:val="00970BFD"/>
    <w:rsid w:val="00976B30"/>
    <w:rsid w:val="009850C7"/>
    <w:rsid w:val="009A2E91"/>
    <w:rsid w:val="009A67B5"/>
    <w:rsid w:val="009E7CB9"/>
    <w:rsid w:val="00A11E44"/>
    <w:rsid w:val="00A122CA"/>
    <w:rsid w:val="00A13A25"/>
    <w:rsid w:val="00A23784"/>
    <w:rsid w:val="00A3021B"/>
    <w:rsid w:val="00A30861"/>
    <w:rsid w:val="00A3576E"/>
    <w:rsid w:val="00A40D59"/>
    <w:rsid w:val="00A42B65"/>
    <w:rsid w:val="00A53174"/>
    <w:rsid w:val="00A734F7"/>
    <w:rsid w:val="00A820EF"/>
    <w:rsid w:val="00A9203D"/>
    <w:rsid w:val="00A96115"/>
    <w:rsid w:val="00AE2CF7"/>
    <w:rsid w:val="00AE52C9"/>
    <w:rsid w:val="00B060EC"/>
    <w:rsid w:val="00B344B4"/>
    <w:rsid w:val="00B50EC6"/>
    <w:rsid w:val="00B53490"/>
    <w:rsid w:val="00B742BA"/>
    <w:rsid w:val="00B75E42"/>
    <w:rsid w:val="00B75E9D"/>
    <w:rsid w:val="00B75F07"/>
    <w:rsid w:val="00B97398"/>
    <w:rsid w:val="00B97E42"/>
    <w:rsid w:val="00BA2070"/>
    <w:rsid w:val="00BA2E7A"/>
    <w:rsid w:val="00BB0171"/>
    <w:rsid w:val="00BB39C1"/>
    <w:rsid w:val="00BC2244"/>
    <w:rsid w:val="00BC3D2D"/>
    <w:rsid w:val="00BD229E"/>
    <w:rsid w:val="00BD30F0"/>
    <w:rsid w:val="00BE213A"/>
    <w:rsid w:val="00BF3BF1"/>
    <w:rsid w:val="00C00649"/>
    <w:rsid w:val="00C0414F"/>
    <w:rsid w:val="00C2166F"/>
    <w:rsid w:val="00C23EC3"/>
    <w:rsid w:val="00C25C1B"/>
    <w:rsid w:val="00C302E8"/>
    <w:rsid w:val="00C34190"/>
    <w:rsid w:val="00C34716"/>
    <w:rsid w:val="00C600A4"/>
    <w:rsid w:val="00C641E6"/>
    <w:rsid w:val="00C82EA0"/>
    <w:rsid w:val="00CA0CA0"/>
    <w:rsid w:val="00CA6AEE"/>
    <w:rsid w:val="00CB496F"/>
    <w:rsid w:val="00CC1B98"/>
    <w:rsid w:val="00CC5FF3"/>
    <w:rsid w:val="00CD245E"/>
    <w:rsid w:val="00CE1794"/>
    <w:rsid w:val="00CE4688"/>
    <w:rsid w:val="00CF5C50"/>
    <w:rsid w:val="00D53C0A"/>
    <w:rsid w:val="00D5538C"/>
    <w:rsid w:val="00D5582C"/>
    <w:rsid w:val="00D62F70"/>
    <w:rsid w:val="00D81F20"/>
    <w:rsid w:val="00D8404C"/>
    <w:rsid w:val="00D86A07"/>
    <w:rsid w:val="00DC27D5"/>
    <w:rsid w:val="00DD22BD"/>
    <w:rsid w:val="00DF7EF8"/>
    <w:rsid w:val="00E10B27"/>
    <w:rsid w:val="00E12252"/>
    <w:rsid w:val="00E13BAD"/>
    <w:rsid w:val="00E260E2"/>
    <w:rsid w:val="00E342BE"/>
    <w:rsid w:val="00E363F9"/>
    <w:rsid w:val="00E3642F"/>
    <w:rsid w:val="00E3705D"/>
    <w:rsid w:val="00E57F6C"/>
    <w:rsid w:val="00E634B5"/>
    <w:rsid w:val="00E656A4"/>
    <w:rsid w:val="00E76493"/>
    <w:rsid w:val="00EA36D2"/>
    <w:rsid w:val="00EB6D67"/>
    <w:rsid w:val="00EC0809"/>
    <w:rsid w:val="00EC7D76"/>
    <w:rsid w:val="00ED5552"/>
    <w:rsid w:val="00EE2FB8"/>
    <w:rsid w:val="00EE7678"/>
    <w:rsid w:val="00EF458B"/>
    <w:rsid w:val="00F021E2"/>
    <w:rsid w:val="00F215AD"/>
    <w:rsid w:val="00F351F9"/>
    <w:rsid w:val="00F452CF"/>
    <w:rsid w:val="00F50C7A"/>
    <w:rsid w:val="00F50E02"/>
    <w:rsid w:val="00F56DC2"/>
    <w:rsid w:val="00F62080"/>
    <w:rsid w:val="00F81A3F"/>
    <w:rsid w:val="00F87531"/>
    <w:rsid w:val="00F94374"/>
    <w:rsid w:val="00F94D67"/>
    <w:rsid w:val="00F95CC0"/>
    <w:rsid w:val="00FA5623"/>
    <w:rsid w:val="00FA66E9"/>
    <w:rsid w:val="00FA6817"/>
    <w:rsid w:val="00FC3D61"/>
    <w:rsid w:val="00FC49F5"/>
    <w:rsid w:val="00FC6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1E06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F5"/>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1E2"/>
    <w:pPr>
      <w:ind w:left="720"/>
      <w:contextualSpacing/>
    </w:pPr>
  </w:style>
  <w:style w:type="paragraph" w:customStyle="1" w:styleId="Default">
    <w:name w:val="Default"/>
    <w:rsid w:val="009142C8"/>
    <w:pPr>
      <w:widowControl w:val="0"/>
      <w:autoSpaceDE w:val="0"/>
      <w:autoSpaceDN w:val="0"/>
      <w:adjustRightInd w:val="0"/>
    </w:pPr>
    <w:rPr>
      <w:rFonts w:ascii="Cambria" w:hAnsi="Cambria" w:cs="Cambria"/>
      <w:color w:val="000000"/>
    </w:rPr>
  </w:style>
  <w:style w:type="paragraph" w:customStyle="1" w:styleId="cite">
    <w:name w:val="cite"/>
    <w:basedOn w:val="Normal"/>
    <w:qFormat/>
    <w:rsid w:val="00FA6817"/>
    <w:pPr>
      <w:widowControl w:val="0"/>
      <w:autoSpaceDE w:val="0"/>
      <w:autoSpaceDN w:val="0"/>
      <w:adjustRightInd w:val="0"/>
      <w:ind w:left="1440" w:hanging="720"/>
    </w:pPr>
    <w:rPr>
      <w:rFonts w:cs="Times"/>
      <w:sz w:val="22"/>
      <w:szCs w:val="22"/>
    </w:rPr>
  </w:style>
  <w:style w:type="character" w:styleId="Hyperlink">
    <w:name w:val="Hyperlink"/>
    <w:basedOn w:val="DefaultParagraphFont"/>
    <w:unhideWhenUsed/>
    <w:rsid w:val="000C7520"/>
    <w:rPr>
      <w:color w:val="0000FF"/>
      <w:u w:val="single"/>
    </w:rPr>
  </w:style>
  <w:style w:type="character" w:styleId="Strong">
    <w:name w:val="Strong"/>
    <w:basedOn w:val="DefaultParagraphFont"/>
    <w:uiPriority w:val="22"/>
    <w:qFormat/>
    <w:rsid w:val="000C7520"/>
    <w:rPr>
      <w:b/>
      <w:bCs/>
    </w:rPr>
  </w:style>
  <w:style w:type="table" w:styleId="TableGrid">
    <w:name w:val="Table Grid"/>
    <w:basedOn w:val="TableNormal"/>
    <w:uiPriority w:val="59"/>
    <w:rsid w:val="00EC0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302E8"/>
    <w:rPr>
      <w:color w:val="800080" w:themeColor="followedHyperlink"/>
      <w:u w:val="single"/>
    </w:rPr>
  </w:style>
  <w:style w:type="paragraph" w:styleId="BalloonText">
    <w:name w:val="Balloon Text"/>
    <w:basedOn w:val="Normal"/>
    <w:link w:val="BalloonTextChar"/>
    <w:uiPriority w:val="99"/>
    <w:semiHidden/>
    <w:unhideWhenUsed/>
    <w:rsid w:val="008C60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0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F5"/>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1E2"/>
    <w:pPr>
      <w:ind w:left="720"/>
      <w:contextualSpacing/>
    </w:pPr>
  </w:style>
  <w:style w:type="paragraph" w:customStyle="1" w:styleId="Default">
    <w:name w:val="Default"/>
    <w:rsid w:val="009142C8"/>
    <w:pPr>
      <w:widowControl w:val="0"/>
      <w:autoSpaceDE w:val="0"/>
      <w:autoSpaceDN w:val="0"/>
      <w:adjustRightInd w:val="0"/>
    </w:pPr>
    <w:rPr>
      <w:rFonts w:ascii="Cambria" w:hAnsi="Cambria" w:cs="Cambria"/>
      <w:color w:val="000000"/>
    </w:rPr>
  </w:style>
  <w:style w:type="paragraph" w:customStyle="1" w:styleId="cite">
    <w:name w:val="cite"/>
    <w:basedOn w:val="Normal"/>
    <w:qFormat/>
    <w:rsid w:val="00FA6817"/>
    <w:pPr>
      <w:widowControl w:val="0"/>
      <w:autoSpaceDE w:val="0"/>
      <w:autoSpaceDN w:val="0"/>
      <w:adjustRightInd w:val="0"/>
      <w:ind w:left="1440" w:hanging="720"/>
    </w:pPr>
    <w:rPr>
      <w:rFonts w:cs="Times"/>
      <w:sz w:val="22"/>
      <w:szCs w:val="22"/>
    </w:rPr>
  </w:style>
  <w:style w:type="character" w:styleId="Hyperlink">
    <w:name w:val="Hyperlink"/>
    <w:basedOn w:val="DefaultParagraphFont"/>
    <w:unhideWhenUsed/>
    <w:rsid w:val="000C7520"/>
    <w:rPr>
      <w:color w:val="0000FF"/>
      <w:u w:val="single"/>
    </w:rPr>
  </w:style>
  <w:style w:type="character" w:styleId="Strong">
    <w:name w:val="Strong"/>
    <w:basedOn w:val="DefaultParagraphFont"/>
    <w:uiPriority w:val="22"/>
    <w:qFormat/>
    <w:rsid w:val="000C7520"/>
    <w:rPr>
      <w:b/>
      <w:bCs/>
    </w:rPr>
  </w:style>
  <w:style w:type="table" w:styleId="TableGrid">
    <w:name w:val="Table Grid"/>
    <w:basedOn w:val="TableNormal"/>
    <w:uiPriority w:val="59"/>
    <w:rsid w:val="00EC0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302E8"/>
    <w:rPr>
      <w:color w:val="800080" w:themeColor="followedHyperlink"/>
      <w:u w:val="single"/>
    </w:rPr>
  </w:style>
  <w:style w:type="paragraph" w:styleId="BalloonText">
    <w:name w:val="Balloon Text"/>
    <w:basedOn w:val="Normal"/>
    <w:link w:val="BalloonTextChar"/>
    <w:uiPriority w:val="99"/>
    <w:semiHidden/>
    <w:unhideWhenUsed/>
    <w:rsid w:val="008C60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0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5578">
      <w:bodyDiv w:val="1"/>
      <w:marLeft w:val="0"/>
      <w:marRight w:val="0"/>
      <w:marTop w:val="0"/>
      <w:marBottom w:val="0"/>
      <w:divBdr>
        <w:top w:val="none" w:sz="0" w:space="0" w:color="auto"/>
        <w:left w:val="none" w:sz="0" w:space="0" w:color="auto"/>
        <w:bottom w:val="none" w:sz="0" w:space="0" w:color="auto"/>
        <w:right w:val="none" w:sz="0" w:space="0" w:color="auto"/>
      </w:divBdr>
      <w:divsChild>
        <w:div w:id="1304964319">
          <w:marLeft w:val="0"/>
          <w:marRight w:val="0"/>
          <w:marTop w:val="0"/>
          <w:marBottom w:val="0"/>
          <w:divBdr>
            <w:top w:val="none" w:sz="0" w:space="0" w:color="auto"/>
            <w:left w:val="none" w:sz="0" w:space="0" w:color="auto"/>
            <w:bottom w:val="none" w:sz="0" w:space="0" w:color="auto"/>
            <w:right w:val="none" w:sz="0" w:space="0" w:color="auto"/>
          </w:divBdr>
        </w:div>
      </w:divsChild>
    </w:div>
    <w:div w:id="348801963">
      <w:bodyDiv w:val="1"/>
      <w:marLeft w:val="0"/>
      <w:marRight w:val="0"/>
      <w:marTop w:val="0"/>
      <w:marBottom w:val="0"/>
      <w:divBdr>
        <w:top w:val="none" w:sz="0" w:space="0" w:color="auto"/>
        <w:left w:val="none" w:sz="0" w:space="0" w:color="auto"/>
        <w:bottom w:val="none" w:sz="0" w:space="0" w:color="auto"/>
        <w:right w:val="none" w:sz="0" w:space="0" w:color="auto"/>
      </w:divBdr>
      <w:divsChild>
        <w:div w:id="266545202">
          <w:marLeft w:val="0"/>
          <w:marRight w:val="0"/>
          <w:marTop w:val="0"/>
          <w:marBottom w:val="0"/>
          <w:divBdr>
            <w:top w:val="none" w:sz="0" w:space="0" w:color="auto"/>
            <w:left w:val="none" w:sz="0" w:space="0" w:color="auto"/>
            <w:bottom w:val="none" w:sz="0" w:space="0" w:color="auto"/>
            <w:right w:val="none" w:sz="0" w:space="0" w:color="auto"/>
          </w:divBdr>
        </w:div>
      </w:divsChild>
    </w:div>
    <w:div w:id="488599408">
      <w:bodyDiv w:val="1"/>
      <w:marLeft w:val="0"/>
      <w:marRight w:val="0"/>
      <w:marTop w:val="0"/>
      <w:marBottom w:val="0"/>
      <w:divBdr>
        <w:top w:val="none" w:sz="0" w:space="0" w:color="auto"/>
        <w:left w:val="none" w:sz="0" w:space="0" w:color="auto"/>
        <w:bottom w:val="none" w:sz="0" w:space="0" w:color="auto"/>
        <w:right w:val="none" w:sz="0" w:space="0" w:color="auto"/>
      </w:divBdr>
      <w:divsChild>
        <w:div w:id="1170634277">
          <w:marLeft w:val="0"/>
          <w:marRight w:val="0"/>
          <w:marTop w:val="0"/>
          <w:marBottom w:val="0"/>
          <w:divBdr>
            <w:top w:val="none" w:sz="0" w:space="0" w:color="auto"/>
            <w:left w:val="none" w:sz="0" w:space="0" w:color="auto"/>
            <w:bottom w:val="none" w:sz="0" w:space="0" w:color="auto"/>
            <w:right w:val="none" w:sz="0" w:space="0" w:color="auto"/>
          </w:divBdr>
        </w:div>
      </w:divsChild>
    </w:div>
    <w:div w:id="593124650">
      <w:bodyDiv w:val="1"/>
      <w:marLeft w:val="0"/>
      <w:marRight w:val="0"/>
      <w:marTop w:val="0"/>
      <w:marBottom w:val="0"/>
      <w:divBdr>
        <w:top w:val="none" w:sz="0" w:space="0" w:color="auto"/>
        <w:left w:val="none" w:sz="0" w:space="0" w:color="auto"/>
        <w:bottom w:val="none" w:sz="0" w:space="0" w:color="auto"/>
        <w:right w:val="none" w:sz="0" w:space="0" w:color="auto"/>
      </w:divBdr>
    </w:div>
    <w:div w:id="861742594">
      <w:bodyDiv w:val="1"/>
      <w:marLeft w:val="0"/>
      <w:marRight w:val="0"/>
      <w:marTop w:val="0"/>
      <w:marBottom w:val="0"/>
      <w:divBdr>
        <w:top w:val="none" w:sz="0" w:space="0" w:color="auto"/>
        <w:left w:val="none" w:sz="0" w:space="0" w:color="auto"/>
        <w:bottom w:val="none" w:sz="0" w:space="0" w:color="auto"/>
        <w:right w:val="none" w:sz="0" w:space="0" w:color="auto"/>
      </w:divBdr>
      <w:divsChild>
        <w:div w:id="226916175">
          <w:marLeft w:val="0"/>
          <w:marRight w:val="0"/>
          <w:marTop w:val="0"/>
          <w:marBottom w:val="0"/>
          <w:divBdr>
            <w:top w:val="none" w:sz="0" w:space="0" w:color="auto"/>
            <w:left w:val="none" w:sz="0" w:space="0" w:color="auto"/>
            <w:bottom w:val="none" w:sz="0" w:space="0" w:color="auto"/>
            <w:right w:val="none" w:sz="0" w:space="0" w:color="auto"/>
          </w:divBdr>
          <w:divsChild>
            <w:div w:id="21431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4130">
      <w:bodyDiv w:val="1"/>
      <w:marLeft w:val="0"/>
      <w:marRight w:val="0"/>
      <w:marTop w:val="0"/>
      <w:marBottom w:val="0"/>
      <w:divBdr>
        <w:top w:val="none" w:sz="0" w:space="0" w:color="auto"/>
        <w:left w:val="none" w:sz="0" w:space="0" w:color="auto"/>
        <w:bottom w:val="none" w:sz="0" w:space="0" w:color="auto"/>
        <w:right w:val="none" w:sz="0" w:space="0" w:color="auto"/>
      </w:divBdr>
      <w:divsChild>
        <w:div w:id="343480183">
          <w:marLeft w:val="0"/>
          <w:marRight w:val="0"/>
          <w:marTop w:val="0"/>
          <w:marBottom w:val="0"/>
          <w:divBdr>
            <w:top w:val="none" w:sz="0" w:space="0" w:color="auto"/>
            <w:left w:val="none" w:sz="0" w:space="0" w:color="auto"/>
            <w:bottom w:val="none" w:sz="0" w:space="0" w:color="auto"/>
            <w:right w:val="none" w:sz="0" w:space="0" w:color="auto"/>
          </w:divBdr>
          <w:divsChild>
            <w:div w:id="20155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9844">
      <w:bodyDiv w:val="1"/>
      <w:marLeft w:val="0"/>
      <w:marRight w:val="0"/>
      <w:marTop w:val="0"/>
      <w:marBottom w:val="0"/>
      <w:divBdr>
        <w:top w:val="none" w:sz="0" w:space="0" w:color="auto"/>
        <w:left w:val="none" w:sz="0" w:space="0" w:color="auto"/>
        <w:bottom w:val="none" w:sz="0" w:space="0" w:color="auto"/>
        <w:right w:val="none" w:sz="0" w:space="0" w:color="auto"/>
      </w:divBdr>
      <w:divsChild>
        <w:div w:id="1816800357">
          <w:marLeft w:val="0"/>
          <w:marRight w:val="0"/>
          <w:marTop w:val="0"/>
          <w:marBottom w:val="0"/>
          <w:divBdr>
            <w:top w:val="none" w:sz="0" w:space="0" w:color="auto"/>
            <w:left w:val="none" w:sz="0" w:space="0" w:color="auto"/>
            <w:bottom w:val="none" w:sz="0" w:space="0" w:color="auto"/>
            <w:right w:val="none" w:sz="0" w:space="0" w:color="auto"/>
          </w:divBdr>
        </w:div>
      </w:divsChild>
    </w:div>
    <w:div w:id="1634434744">
      <w:bodyDiv w:val="1"/>
      <w:marLeft w:val="0"/>
      <w:marRight w:val="0"/>
      <w:marTop w:val="0"/>
      <w:marBottom w:val="0"/>
      <w:divBdr>
        <w:top w:val="none" w:sz="0" w:space="0" w:color="auto"/>
        <w:left w:val="none" w:sz="0" w:space="0" w:color="auto"/>
        <w:bottom w:val="none" w:sz="0" w:space="0" w:color="auto"/>
        <w:right w:val="none" w:sz="0" w:space="0" w:color="auto"/>
      </w:divBdr>
      <w:divsChild>
        <w:div w:id="530264814">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5829">
      <w:bodyDiv w:val="1"/>
      <w:marLeft w:val="0"/>
      <w:marRight w:val="0"/>
      <w:marTop w:val="0"/>
      <w:marBottom w:val="0"/>
      <w:divBdr>
        <w:top w:val="none" w:sz="0" w:space="0" w:color="auto"/>
        <w:left w:val="none" w:sz="0" w:space="0" w:color="auto"/>
        <w:bottom w:val="none" w:sz="0" w:space="0" w:color="auto"/>
        <w:right w:val="none" w:sz="0" w:space="0" w:color="auto"/>
      </w:divBdr>
      <w:divsChild>
        <w:div w:id="1862739613">
          <w:marLeft w:val="0"/>
          <w:marRight w:val="0"/>
          <w:marTop w:val="0"/>
          <w:marBottom w:val="0"/>
          <w:divBdr>
            <w:top w:val="none" w:sz="0" w:space="0" w:color="auto"/>
            <w:left w:val="none" w:sz="0" w:space="0" w:color="auto"/>
            <w:bottom w:val="none" w:sz="0" w:space="0" w:color="auto"/>
            <w:right w:val="none" w:sz="0" w:space="0" w:color="auto"/>
          </w:divBdr>
          <w:divsChild>
            <w:div w:id="2078941669">
              <w:marLeft w:val="0"/>
              <w:marRight w:val="0"/>
              <w:marTop w:val="0"/>
              <w:marBottom w:val="0"/>
              <w:divBdr>
                <w:top w:val="none" w:sz="0" w:space="0" w:color="auto"/>
                <w:left w:val="none" w:sz="0" w:space="0" w:color="auto"/>
                <w:bottom w:val="none" w:sz="0" w:space="0" w:color="auto"/>
                <w:right w:val="none" w:sz="0" w:space="0" w:color="auto"/>
              </w:divBdr>
            </w:div>
            <w:div w:id="1930649658">
              <w:marLeft w:val="0"/>
              <w:marRight w:val="0"/>
              <w:marTop w:val="0"/>
              <w:marBottom w:val="0"/>
              <w:divBdr>
                <w:top w:val="none" w:sz="0" w:space="0" w:color="auto"/>
                <w:left w:val="none" w:sz="0" w:space="0" w:color="auto"/>
                <w:bottom w:val="none" w:sz="0" w:space="0" w:color="auto"/>
                <w:right w:val="none" w:sz="0" w:space="0" w:color="auto"/>
              </w:divBdr>
            </w:div>
            <w:div w:id="8082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7802">
      <w:bodyDiv w:val="1"/>
      <w:marLeft w:val="0"/>
      <w:marRight w:val="0"/>
      <w:marTop w:val="0"/>
      <w:marBottom w:val="0"/>
      <w:divBdr>
        <w:top w:val="none" w:sz="0" w:space="0" w:color="auto"/>
        <w:left w:val="none" w:sz="0" w:space="0" w:color="auto"/>
        <w:bottom w:val="none" w:sz="0" w:space="0" w:color="auto"/>
        <w:right w:val="none" w:sz="0" w:space="0" w:color="auto"/>
      </w:divBdr>
      <w:divsChild>
        <w:div w:id="1902208460">
          <w:marLeft w:val="0"/>
          <w:marRight w:val="0"/>
          <w:marTop w:val="0"/>
          <w:marBottom w:val="0"/>
          <w:divBdr>
            <w:top w:val="none" w:sz="0" w:space="0" w:color="auto"/>
            <w:left w:val="none" w:sz="0" w:space="0" w:color="auto"/>
            <w:bottom w:val="none" w:sz="0" w:space="0" w:color="auto"/>
            <w:right w:val="none" w:sz="0" w:space="0" w:color="auto"/>
          </w:divBdr>
          <w:divsChild>
            <w:div w:id="19190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4724">
      <w:bodyDiv w:val="1"/>
      <w:marLeft w:val="0"/>
      <w:marRight w:val="0"/>
      <w:marTop w:val="0"/>
      <w:marBottom w:val="0"/>
      <w:divBdr>
        <w:top w:val="none" w:sz="0" w:space="0" w:color="auto"/>
        <w:left w:val="none" w:sz="0" w:space="0" w:color="auto"/>
        <w:bottom w:val="none" w:sz="0" w:space="0" w:color="auto"/>
        <w:right w:val="none" w:sz="0" w:space="0" w:color="auto"/>
      </w:divBdr>
      <w:divsChild>
        <w:div w:id="509876933">
          <w:marLeft w:val="0"/>
          <w:marRight w:val="0"/>
          <w:marTop w:val="0"/>
          <w:marBottom w:val="0"/>
          <w:divBdr>
            <w:top w:val="none" w:sz="0" w:space="0" w:color="auto"/>
            <w:left w:val="none" w:sz="0" w:space="0" w:color="auto"/>
            <w:bottom w:val="none" w:sz="0" w:space="0" w:color="auto"/>
            <w:right w:val="none" w:sz="0" w:space="0" w:color="auto"/>
          </w:divBdr>
          <w:divsChild>
            <w:div w:id="19740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ritingcenter.unc.edu/resources/handouts-demos/citation/plagiaris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dlauen@unc.edu" TargetMode="External"/><Relationship Id="rId8" Type="http://schemas.openxmlformats.org/officeDocument/2006/relationships/hyperlink" Target="http://www.hsph.harvard.edu/miguel-hernan/causal-inference-book/" TargetMode="External"/><Relationship Id="rId9" Type="http://schemas.openxmlformats.org/officeDocument/2006/relationships/hyperlink" Target="http://instrument.unc.edu/" TargetMode="External"/><Relationship Id="rId10" Type="http://schemas.openxmlformats.org/officeDocument/2006/relationships/hyperlink" Target="http://honor.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EDE01-D85B-AF4A-BDFC-81AD45A9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2933</Words>
  <Characters>16719</Characters>
  <Application>Microsoft Macintosh Word</Application>
  <DocSecurity>0</DocSecurity>
  <Lines>139</Lines>
  <Paragraphs>39</Paragraphs>
  <ScaleCrop>false</ScaleCrop>
  <Company/>
  <LinksUpToDate>false</LinksUpToDate>
  <CharactersWithSpaces>19613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Mystery Author Lauen</dc:creator>
  <cp:keywords/>
  <dc:description/>
  <cp:lastModifiedBy>Doug Lauen</cp:lastModifiedBy>
  <cp:revision>2</cp:revision>
  <cp:lastPrinted>2015-08-13T19:01:00Z</cp:lastPrinted>
  <dcterms:created xsi:type="dcterms:W3CDTF">2016-04-15T18:58:00Z</dcterms:created>
  <dcterms:modified xsi:type="dcterms:W3CDTF">2016-04-15T18:58:00Z</dcterms:modified>
</cp:coreProperties>
</file>