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55B3" w14:textId="66ED71DF" w:rsidR="00B8175B" w:rsidRPr="001D1143" w:rsidRDefault="0035729C">
      <w:pPr>
        <w:pStyle w:val="vitatitle"/>
        <w:pBdr>
          <w:bottom w:val="none" w:sz="0" w:space="0" w:color="auto"/>
        </w:pBdr>
        <w:spacing w:after="80"/>
        <w:jc w:val="center"/>
        <w:rPr>
          <w:rFonts w:ascii="Times New Roman" w:hAnsi="Times New Roman"/>
          <w:bCs/>
          <w:smallCaps/>
        </w:rPr>
      </w:pPr>
      <w:r w:rsidRPr="001D1143">
        <w:rPr>
          <w:rFonts w:ascii="Times New Roman" w:hAnsi="Times New Roman"/>
          <w:bCs/>
          <w:smallCaps/>
        </w:rPr>
        <w:t>Douglas Lee Lauen</w:t>
      </w:r>
    </w:p>
    <w:p w14:paraId="4273A000" w14:textId="77777777" w:rsidR="00177887" w:rsidRPr="00924613" w:rsidRDefault="00177887" w:rsidP="00924613">
      <w:pPr>
        <w:pStyle w:val="vitatitle"/>
        <w:pBdr>
          <w:bottom w:val="none" w:sz="0" w:space="0" w:color="auto"/>
        </w:pBdr>
        <w:spacing w:after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924613">
        <w:rPr>
          <w:rFonts w:ascii="Times New Roman" w:hAnsi="Times New Roman"/>
          <w:b w:val="0"/>
          <w:bCs/>
          <w:sz w:val="24"/>
          <w:szCs w:val="24"/>
        </w:rPr>
        <w:t>University of North Carolina at Chapel Hill</w:t>
      </w:r>
    </w:p>
    <w:p w14:paraId="68CDF005" w14:textId="77777777" w:rsidR="00E6550D" w:rsidRPr="00E6550D" w:rsidRDefault="00A54FA9" w:rsidP="00177887">
      <w:pPr>
        <w:pStyle w:val="vitatitle"/>
        <w:pBdr>
          <w:bottom w:val="none" w:sz="0" w:space="0" w:color="auto"/>
        </w:pBdr>
        <w:tabs>
          <w:tab w:val="clear" w:pos="6480"/>
          <w:tab w:val="center" w:pos="1620"/>
          <w:tab w:val="center" w:pos="7650"/>
        </w:tabs>
        <w:spacing w:after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6550D">
        <w:rPr>
          <w:rFonts w:ascii="Times New Roman" w:hAnsi="Times New Roman"/>
          <w:b w:val="0"/>
          <w:sz w:val="24"/>
          <w:szCs w:val="24"/>
        </w:rPr>
        <w:t xml:space="preserve">Department of </w:t>
      </w:r>
      <w:r w:rsidR="00177887">
        <w:rPr>
          <w:rFonts w:ascii="Times New Roman" w:hAnsi="Times New Roman"/>
          <w:b w:val="0"/>
          <w:sz w:val="24"/>
          <w:szCs w:val="24"/>
        </w:rPr>
        <w:t>Public Policy</w:t>
      </w:r>
    </w:p>
    <w:p w14:paraId="3F7DEFB8" w14:textId="77777777" w:rsidR="00E6550D" w:rsidRPr="00E6550D" w:rsidRDefault="00177887" w:rsidP="00177887">
      <w:pPr>
        <w:pStyle w:val="vitatitle"/>
        <w:pBdr>
          <w:bottom w:val="none" w:sz="0" w:space="0" w:color="auto"/>
        </w:pBdr>
        <w:tabs>
          <w:tab w:val="clear" w:pos="6480"/>
          <w:tab w:val="center" w:pos="1620"/>
          <w:tab w:val="center" w:pos="7650"/>
        </w:tabs>
        <w:spacing w:after="0"/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Abernethy Hall, CB#3435</w:t>
      </w:r>
    </w:p>
    <w:p w14:paraId="5D624201" w14:textId="77777777" w:rsidR="00A54FA9" w:rsidRDefault="00177887" w:rsidP="00177887">
      <w:pPr>
        <w:pStyle w:val="vitatitle"/>
        <w:pBdr>
          <w:bottom w:val="none" w:sz="0" w:space="0" w:color="auto"/>
        </w:pBdr>
        <w:tabs>
          <w:tab w:val="clear" w:pos="6480"/>
        </w:tabs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Chapel Hill, NC 27599-3435</w:t>
      </w:r>
    </w:p>
    <w:p w14:paraId="1D8B0A3D" w14:textId="77777777" w:rsidR="00177887" w:rsidRPr="00177887" w:rsidRDefault="00177887" w:rsidP="00177887">
      <w:pPr>
        <w:pStyle w:val="vitatitle"/>
        <w:pBdr>
          <w:bottom w:val="none" w:sz="0" w:space="0" w:color="auto"/>
        </w:pBdr>
        <w:tabs>
          <w:tab w:val="clear" w:pos="6480"/>
        </w:tabs>
        <w:spacing w:after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177887">
        <w:rPr>
          <w:b w:val="0"/>
          <w:sz w:val="24"/>
          <w:szCs w:val="24"/>
        </w:rPr>
        <w:t>(919) 843-5010</w:t>
      </w:r>
    </w:p>
    <w:p w14:paraId="7A1492E2" w14:textId="77777777" w:rsidR="00B8175B" w:rsidRDefault="00D05AA6" w:rsidP="00A54FA9">
      <w:pPr>
        <w:pStyle w:val="vitatitle"/>
        <w:pBdr>
          <w:bottom w:val="none" w:sz="0" w:space="0" w:color="auto"/>
        </w:pBdr>
        <w:spacing w:after="0"/>
        <w:jc w:val="center"/>
        <w:rPr>
          <w:rFonts w:ascii="Times New Roman" w:hAnsi="Times New Roman"/>
          <w:b w:val="0"/>
          <w:bCs/>
          <w:sz w:val="24"/>
        </w:rPr>
      </w:pPr>
      <w:hyperlink r:id="rId8" w:history="1">
        <w:r w:rsidR="00D90121" w:rsidRPr="009D7360">
          <w:rPr>
            <w:rStyle w:val="Hyperlink"/>
            <w:rFonts w:ascii="Times New Roman" w:hAnsi="Times New Roman"/>
            <w:b w:val="0"/>
            <w:bCs/>
            <w:sz w:val="24"/>
          </w:rPr>
          <w:t>dlauen@unc.edu</w:t>
        </w:r>
      </w:hyperlink>
    </w:p>
    <w:p w14:paraId="0253E84F" w14:textId="77777777" w:rsidR="00D90121" w:rsidRDefault="00D90121" w:rsidP="00A54FA9">
      <w:pPr>
        <w:pStyle w:val="vitatitle"/>
        <w:pBdr>
          <w:bottom w:val="none" w:sz="0" w:space="0" w:color="auto"/>
        </w:pBdr>
        <w:spacing w:after="0"/>
        <w:jc w:val="center"/>
        <w:rPr>
          <w:rFonts w:ascii="Times New Roman" w:hAnsi="Times New Roman"/>
          <w:b w:val="0"/>
          <w:bCs/>
          <w:sz w:val="24"/>
        </w:rPr>
      </w:pPr>
    </w:p>
    <w:p w14:paraId="6803CA15" w14:textId="7774874B" w:rsidR="00D90121" w:rsidRPr="004D0B54" w:rsidRDefault="009817FA" w:rsidP="00A54FA9">
      <w:pPr>
        <w:pStyle w:val="vitatitle"/>
        <w:pBdr>
          <w:bottom w:val="none" w:sz="0" w:space="0" w:color="auto"/>
        </w:pBdr>
        <w:spacing w:after="0"/>
        <w:jc w:val="center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Updated</w:t>
      </w:r>
      <w:r w:rsidR="004A0315">
        <w:rPr>
          <w:rFonts w:ascii="Times New Roman" w:hAnsi="Times New Roman"/>
          <w:b w:val="0"/>
          <w:bCs/>
          <w:sz w:val="24"/>
        </w:rPr>
        <w:t xml:space="preserve"> </w:t>
      </w:r>
      <w:r w:rsidR="00C37557">
        <w:rPr>
          <w:rFonts w:ascii="Times New Roman" w:hAnsi="Times New Roman"/>
          <w:b w:val="0"/>
          <w:bCs/>
          <w:sz w:val="24"/>
        </w:rPr>
        <w:fldChar w:fldCharType="begin"/>
      </w:r>
      <w:r w:rsidR="00C37557">
        <w:rPr>
          <w:rFonts w:ascii="Times New Roman" w:hAnsi="Times New Roman"/>
          <w:b w:val="0"/>
          <w:bCs/>
          <w:sz w:val="24"/>
        </w:rPr>
        <w:instrText xml:space="preserve"> SAVEDATE  \@ "MMMM d, yyyy"  \* MERGEFORMAT </w:instrText>
      </w:r>
      <w:r w:rsidR="00C37557">
        <w:rPr>
          <w:rFonts w:ascii="Times New Roman" w:hAnsi="Times New Roman"/>
          <w:b w:val="0"/>
          <w:bCs/>
          <w:sz w:val="24"/>
        </w:rPr>
        <w:fldChar w:fldCharType="separate"/>
      </w:r>
      <w:r w:rsidR="005F7803">
        <w:rPr>
          <w:rFonts w:ascii="Times New Roman" w:hAnsi="Times New Roman"/>
          <w:b w:val="0"/>
          <w:bCs/>
          <w:noProof/>
          <w:sz w:val="24"/>
        </w:rPr>
        <w:t>February 4, 2022</w:t>
      </w:r>
      <w:r w:rsidR="00C37557">
        <w:rPr>
          <w:rFonts w:ascii="Times New Roman" w:hAnsi="Times New Roman"/>
          <w:b w:val="0"/>
          <w:bCs/>
          <w:sz w:val="24"/>
        </w:rPr>
        <w:fldChar w:fldCharType="end"/>
      </w:r>
    </w:p>
    <w:p w14:paraId="746C67FC" w14:textId="77777777" w:rsidR="00B8175B" w:rsidRPr="0035729C" w:rsidRDefault="0035729C" w:rsidP="0035729C">
      <w:pPr>
        <w:pStyle w:val="NEWHEAD"/>
        <w:pBdr>
          <w:bottom w:val="single" w:sz="4" w:space="1" w:color="auto"/>
        </w:pBdr>
        <w:rPr>
          <w:rFonts w:ascii="Times New Roman" w:hAnsi="Times New Roman"/>
          <w:b/>
          <w:smallCaps/>
        </w:rPr>
      </w:pPr>
      <w:r w:rsidRPr="0035729C">
        <w:rPr>
          <w:rFonts w:ascii="Times New Roman" w:hAnsi="Times New Roman"/>
          <w:b/>
          <w:smallCaps/>
        </w:rPr>
        <w:t>Education</w:t>
      </w:r>
    </w:p>
    <w:p w14:paraId="7DDE3604" w14:textId="77777777" w:rsidR="00282E12" w:rsidRDefault="00924613" w:rsidP="00924613">
      <w:pPr>
        <w:pStyle w:val="vitaentry"/>
        <w:keepNext/>
        <w:keepLines/>
        <w:tabs>
          <w:tab w:val="clear" w:pos="1260"/>
          <w:tab w:val="right" w:pos="9360"/>
        </w:tabs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 in </w:t>
      </w:r>
      <w:r w:rsidRPr="00E6550D">
        <w:rPr>
          <w:rFonts w:ascii="Times New Roman" w:hAnsi="Times New Roman"/>
        </w:rPr>
        <w:t>Sociology</w:t>
      </w:r>
      <w:r>
        <w:rPr>
          <w:rFonts w:ascii="Times New Roman" w:hAnsi="Times New Roman"/>
        </w:rPr>
        <w:t xml:space="preserve">, </w:t>
      </w:r>
      <w:r w:rsidR="00B8175B" w:rsidRPr="00924613">
        <w:rPr>
          <w:rFonts w:ascii="Times New Roman" w:hAnsi="Times New Roman"/>
        </w:rPr>
        <w:t>University of Chicago</w:t>
      </w:r>
      <w:r>
        <w:rPr>
          <w:rFonts w:ascii="Times New Roman" w:hAnsi="Times New Roman"/>
          <w:b/>
        </w:rPr>
        <w:t xml:space="preserve">, </w:t>
      </w:r>
      <w:r w:rsidR="00282E12">
        <w:rPr>
          <w:rFonts w:ascii="Times New Roman" w:hAnsi="Times New Roman"/>
        </w:rPr>
        <w:t>2006</w:t>
      </w:r>
    </w:p>
    <w:p w14:paraId="50CB20E0" w14:textId="77777777" w:rsidR="00282E12" w:rsidRDefault="00924613" w:rsidP="00924613">
      <w:pPr>
        <w:pStyle w:val="vitaentry"/>
        <w:keepNext/>
        <w:keepLines/>
        <w:tabs>
          <w:tab w:val="clear" w:pos="1260"/>
          <w:tab w:val="right" w:pos="9360"/>
        </w:tabs>
        <w:spacing w:after="120"/>
        <w:ind w:left="360"/>
        <w:rPr>
          <w:rFonts w:ascii="Times New Roman" w:hAnsi="Times New Roman"/>
        </w:rPr>
      </w:pPr>
      <w:r w:rsidRPr="00E6550D">
        <w:rPr>
          <w:rFonts w:ascii="Times New Roman" w:hAnsi="Times New Roman"/>
        </w:rPr>
        <w:t>M.A.,</w:t>
      </w:r>
      <w:r>
        <w:rPr>
          <w:rFonts w:ascii="Times New Roman" w:hAnsi="Times New Roman"/>
        </w:rPr>
        <w:t xml:space="preserve"> Sociology, </w:t>
      </w:r>
      <w:r w:rsidR="009640F8" w:rsidRPr="00924613">
        <w:rPr>
          <w:rFonts w:ascii="Times New Roman" w:hAnsi="Times New Roman"/>
        </w:rPr>
        <w:t>University of Chicago</w:t>
      </w:r>
      <w:r>
        <w:rPr>
          <w:rFonts w:ascii="Times New Roman" w:hAnsi="Times New Roman"/>
        </w:rPr>
        <w:t xml:space="preserve">, </w:t>
      </w:r>
      <w:r w:rsidR="007E536B" w:rsidRPr="00E6550D">
        <w:rPr>
          <w:rFonts w:ascii="Times New Roman" w:hAnsi="Times New Roman"/>
        </w:rPr>
        <w:t>2003</w:t>
      </w:r>
    </w:p>
    <w:p w14:paraId="1BB92118" w14:textId="77777777" w:rsidR="00B8175B" w:rsidRDefault="00924613" w:rsidP="00924613">
      <w:pPr>
        <w:pStyle w:val="vitaentry"/>
        <w:keepNext/>
        <w:keepLines/>
        <w:tabs>
          <w:tab w:val="clear" w:pos="1260"/>
          <w:tab w:val="right" w:pos="9360"/>
        </w:tabs>
        <w:spacing w:after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Master in Public Policy (MPP), </w:t>
      </w:r>
      <w:r w:rsidR="00B8175B" w:rsidRPr="00924613">
        <w:rPr>
          <w:rFonts w:ascii="Times New Roman" w:hAnsi="Times New Roman"/>
        </w:rPr>
        <w:t>University of Chicago</w:t>
      </w:r>
      <w:r>
        <w:rPr>
          <w:rFonts w:ascii="Times New Roman" w:hAnsi="Times New Roman"/>
        </w:rPr>
        <w:t xml:space="preserve">, </w:t>
      </w:r>
      <w:r w:rsidR="00B8175B" w:rsidRPr="00E6550D">
        <w:rPr>
          <w:rFonts w:ascii="Times New Roman" w:hAnsi="Times New Roman"/>
        </w:rPr>
        <w:t>1997</w:t>
      </w:r>
    </w:p>
    <w:p w14:paraId="283768E4" w14:textId="77777777" w:rsidR="00B8175B" w:rsidRDefault="00924613" w:rsidP="00924613">
      <w:pPr>
        <w:pStyle w:val="vitaentry"/>
        <w:keepNext/>
        <w:keepLines/>
        <w:tabs>
          <w:tab w:val="clear" w:pos="1260"/>
          <w:tab w:val="right" w:pos="936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B.A, English, with honors, </w:t>
      </w:r>
      <w:r w:rsidR="007E536B" w:rsidRPr="00924613">
        <w:rPr>
          <w:rFonts w:ascii="Times New Roman" w:hAnsi="Times New Roman"/>
        </w:rPr>
        <w:t>Oberlin College</w:t>
      </w:r>
      <w:r>
        <w:rPr>
          <w:rFonts w:ascii="Times New Roman" w:hAnsi="Times New Roman"/>
        </w:rPr>
        <w:t>,</w:t>
      </w:r>
      <w:r w:rsidR="00B8175B" w:rsidRPr="00E6550D">
        <w:rPr>
          <w:rFonts w:ascii="Times New Roman" w:hAnsi="Times New Roman"/>
        </w:rPr>
        <w:t xml:space="preserve"> 1989</w:t>
      </w:r>
    </w:p>
    <w:p w14:paraId="659B3253" w14:textId="5E070E6B" w:rsidR="007A086C" w:rsidRDefault="007A086C" w:rsidP="00177887">
      <w:pPr>
        <w:pStyle w:val="VitaHead"/>
      </w:pPr>
      <w:r>
        <w:t>Professional Experience</w:t>
      </w:r>
    </w:p>
    <w:p w14:paraId="4BE5AA5D" w14:textId="2510907B" w:rsidR="007A086C" w:rsidRPr="001D1143" w:rsidRDefault="007A086C" w:rsidP="009445D3">
      <w:pPr>
        <w:pStyle w:val="aasectionsub"/>
      </w:pPr>
      <w:r w:rsidRPr="001D1143">
        <w:t>Academic Appointments</w:t>
      </w:r>
      <w:r w:rsidR="004377D7" w:rsidRPr="001D1143">
        <w:tab/>
      </w:r>
    </w:p>
    <w:p w14:paraId="47249072" w14:textId="77777777" w:rsidR="001B1A40" w:rsidRDefault="001B1A40" w:rsidP="001B1A40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1620" w:hanging="1260"/>
      </w:pPr>
      <w:r>
        <w:rPr>
          <w:i/>
        </w:rPr>
        <w:t>2020-</w:t>
      </w:r>
      <w:r>
        <w:rPr>
          <w:i/>
        </w:rPr>
        <w:tab/>
        <w:t xml:space="preserve">Professor, </w:t>
      </w:r>
      <w:r w:rsidRPr="001D1143">
        <w:t>Department of Public Policy,</w:t>
      </w:r>
      <w:r>
        <w:rPr>
          <w:i/>
        </w:rPr>
        <w:t xml:space="preserve"> </w:t>
      </w:r>
      <w:r w:rsidRPr="00E317F7">
        <w:t>University of North Carolina at Chapel Hill</w:t>
      </w:r>
    </w:p>
    <w:p w14:paraId="48002BCC" w14:textId="77777777" w:rsidR="00241E24" w:rsidRDefault="001B1A40" w:rsidP="00241E24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</w:pPr>
      <w:r>
        <w:rPr>
          <w:i/>
        </w:rPr>
        <w:t>2017-</w:t>
      </w:r>
      <w:r>
        <w:rPr>
          <w:i/>
        </w:rPr>
        <w:tab/>
        <w:t xml:space="preserve">Director of Graduate Admissions, </w:t>
      </w:r>
      <w:r w:rsidRPr="00A855F6">
        <w:t>Department of Public Policy</w:t>
      </w:r>
    </w:p>
    <w:p w14:paraId="1FB25E03" w14:textId="77777777" w:rsidR="00241E24" w:rsidRDefault="00241E24" w:rsidP="00241E24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  <w:rPr>
          <w:rStyle w:val="Strong"/>
          <w:b w:val="0"/>
          <w:bCs w:val="0"/>
        </w:rPr>
      </w:pPr>
      <w:r>
        <w:rPr>
          <w:i/>
        </w:rPr>
        <w:t>2019-</w:t>
      </w:r>
      <w:r>
        <w:rPr>
          <w:i/>
        </w:rPr>
        <w:tab/>
      </w:r>
      <w:r w:rsidRPr="00241E24">
        <w:rPr>
          <w:rStyle w:val="Strong"/>
          <w:b w:val="0"/>
          <w:bCs w:val="0"/>
        </w:rPr>
        <w:t>Faculty Fellow, Carolina Population Center</w:t>
      </w:r>
    </w:p>
    <w:p w14:paraId="72899F2B" w14:textId="3FAE872B" w:rsidR="00241E24" w:rsidRPr="00241E24" w:rsidRDefault="00241E24" w:rsidP="00241E24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  <w:rPr>
          <w:i/>
        </w:rPr>
      </w:pPr>
      <w:r>
        <w:rPr>
          <w:i/>
        </w:rPr>
        <w:t>20</w:t>
      </w:r>
      <w:r w:rsidR="008E5CE5">
        <w:rPr>
          <w:i/>
        </w:rPr>
        <w:t>15-</w:t>
      </w:r>
      <w:r w:rsidR="008E5CE5">
        <w:rPr>
          <w:rStyle w:val="Strong"/>
          <w:b w:val="0"/>
          <w:bCs w:val="0"/>
        </w:rPr>
        <w:t xml:space="preserve"> </w:t>
      </w:r>
      <w:r w:rsidR="008E5CE5">
        <w:rPr>
          <w:rStyle w:val="Strong"/>
          <w:b w:val="0"/>
          <w:bCs w:val="0"/>
        </w:rPr>
        <w:tab/>
      </w:r>
      <w:r w:rsidRPr="00241E24">
        <w:rPr>
          <w:rStyle w:val="Strong"/>
          <w:b w:val="0"/>
          <w:bCs w:val="0"/>
        </w:rPr>
        <w:t>Research Fellow, Educational Policy Initiative at Carolina</w:t>
      </w:r>
    </w:p>
    <w:p w14:paraId="06EDE6E3" w14:textId="6C44A8AE" w:rsidR="00E317F7" w:rsidRDefault="00E317F7" w:rsidP="001D1143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1620" w:hanging="1260"/>
      </w:pPr>
      <w:r>
        <w:rPr>
          <w:i/>
        </w:rPr>
        <w:t>2013-</w:t>
      </w:r>
      <w:r w:rsidR="001B1A40">
        <w:rPr>
          <w:i/>
        </w:rPr>
        <w:t>2020</w:t>
      </w:r>
      <w:r>
        <w:rPr>
          <w:i/>
        </w:rPr>
        <w:tab/>
        <w:t xml:space="preserve">Associate Professor, </w:t>
      </w:r>
      <w:r w:rsidR="007A086C" w:rsidRPr="001D1143">
        <w:t>Department of Public Policy,</w:t>
      </w:r>
      <w:r w:rsidR="007A086C">
        <w:rPr>
          <w:i/>
        </w:rPr>
        <w:t xml:space="preserve"> </w:t>
      </w:r>
      <w:r w:rsidRPr="00E317F7">
        <w:t>University of North Carolina at Chapel Hill</w:t>
      </w:r>
    </w:p>
    <w:p w14:paraId="6FBF3F58" w14:textId="4C3B1CE7" w:rsidR="00E317F7" w:rsidRDefault="00E317F7" w:rsidP="00E317F7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1620" w:hanging="1260"/>
        <w:rPr>
          <w:i/>
        </w:rPr>
      </w:pPr>
      <w:r>
        <w:rPr>
          <w:i/>
        </w:rPr>
        <w:t>2013-</w:t>
      </w:r>
      <w:r>
        <w:rPr>
          <w:i/>
        </w:rPr>
        <w:tab/>
        <w:t xml:space="preserve">Adjunct Associate Professor, </w:t>
      </w:r>
      <w:r w:rsidR="007A086C" w:rsidRPr="001D1143">
        <w:t>Department of Sociology</w:t>
      </w:r>
      <w:r w:rsidR="007A086C">
        <w:rPr>
          <w:i/>
        </w:rPr>
        <w:t xml:space="preserve">, </w:t>
      </w:r>
      <w:r w:rsidRPr="00E317F7">
        <w:t>University of North Carolina at Chapel Hill</w:t>
      </w:r>
    </w:p>
    <w:p w14:paraId="16EE0B9B" w14:textId="77777777" w:rsidR="00177887" w:rsidRDefault="004D514D" w:rsidP="004D514D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</w:pPr>
      <w:r>
        <w:rPr>
          <w:i/>
        </w:rPr>
        <w:t>2006-</w:t>
      </w:r>
      <w:r w:rsidR="00E317F7">
        <w:rPr>
          <w:i/>
        </w:rPr>
        <w:t>2013</w:t>
      </w:r>
      <w:r>
        <w:rPr>
          <w:i/>
        </w:rPr>
        <w:tab/>
      </w:r>
      <w:r w:rsidR="00177887">
        <w:rPr>
          <w:i/>
        </w:rPr>
        <w:t>Assistant Professor</w:t>
      </w:r>
      <w:r>
        <w:t xml:space="preserve">, </w:t>
      </w:r>
      <w:r w:rsidR="00177887">
        <w:t>University of North Carolina</w:t>
      </w:r>
      <w:r w:rsidR="00735BB8">
        <w:t xml:space="preserve"> at</w:t>
      </w:r>
      <w:r>
        <w:t xml:space="preserve"> Chapel Hill</w:t>
      </w:r>
    </w:p>
    <w:p w14:paraId="453FFDDE" w14:textId="3A400236" w:rsidR="00E94C31" w:rsidRDefault="004D514D" w:rsidP="004D514D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</w:pPr>
      <w:r>
        <w:t>2005</w:t>
      </w:r>
      <w:r>
        <w:tab/>
      </w:r>
      <w:r w:rsidR="00177887" w:rsidRPr="00645EF0">
        <w:rPr>
          <w:i/>
        </w:rPr>
        <w:t>Lecture</w:t>
      </w:r>
      <w:r>
        <w:rPr>
          <w:i/>
        </w:rPr>
        <w:t xml:space="preserve">r, </w:t>
      </w:r>
      <w:r w:rsidR="00177887">
        <w:t>University of Chicago</w:t>
      </w:r>
    </w:p>
    <w:p w14:paraId="44A1A04B" w14:textId="7488E428" w:rsidR="007A086C" w:rsidRPr="001D1143" w:rsidRDefault="007A086C" w:rsidP="009445D3">
      <w:pPr>
        <w:pStyle w:val="aasectionsub"/>
      </w:pPr>
      <w:r w:rsidRPr="001D1143">
        <w:t xml:space="preserve">Academic and Applied </w:t>
      </w:r>
      <w:r w:rsidRPr="009445D3">
        <w:t>Research</w:t>
      </w:r>
      <w:r w:rsidRPr="001D1143">
        <w:t xml:space="preserve"> Positions</w:t>
      </w:r>
    </w:p>
    <w:p w14:paraId="42FB0F35" w14:textId="77777777" w:rsidR="002C4FEA" w:rsidRDefault="001272DD" w:rsidP="002C4FEA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1620" w:hanging="1260"/>
      </w:pPr>
      <w:r>
        <w:t>2002-2004</w:t>
      </w:r>
      <w:r w:rsidR="002C4FEA">
        <w:tab/>
      </w:r>
      <w:r w:rsidR="002C4FEA" w:rsidRPr="00E94C31">
        <w:rPr>
          <w:i/>
        </w:rPr>
        <w:t xml:space="preserve">Research </w:t>
      </w:r>
      <w:r w:rsidR="002C4FEA">
        <w:rPr>
          <w:i/>
        </w:rPr>
        <w:t xml:space="preserve">Associate, </w:t>
      </w:r>
      <w:r w:rsidR="002C4FEA">
        <w:t>Data Research and Development Center</w:t>
      </w:r>
      <w:r w:rsidR="002C4FEA" w:rsidRPr="00E94C31">
        <w:t>,</w:t>
      </w:r>
      <w:r w:rsidR="002C4FEA">
        <w:rPr>
          <w:i/>
        </w:rPr>
        <w:t xml:space="preserve"> </w:t>
      </w:r>
      <w:r w:rsidR="002C4FEA">
        <w:t>University of Chicago</w:t>
      </w:r>
    </w:p>
    <w:p w14:paraId="34832AC3" w14:textId="77777777" w:rsidR="00E94C31" w:rsidRDefault="00E94C31" w:rsidP="00E94C31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1620" w:hanging="1260"/>
      </w:pPr>
      <w:r>
        <w:t>2000-2002</w:t>
      </w:r>
      <w:r>
        <w:tab/>
      </w:r>
      <w:r w:rsidRPr="00E94C31">
        <w:rPr>
          <w:i/>
        </w:rPr>
        <w:t>Research Analyst</w:t>
      </w:r>
      <w:r>
        <w:rPr>
          <w:i/>
        </w:rPr>
        <w:t xml:space="preserve">, </w:t>
      </w:r>
      <w:r w:rsidRPr="00E94C31">
        <w:t>Consortium on Chicago School Research,</w:t>
      </w:r>
      <w:r>
        <w:rPr>
          <w:i/>
        </w:rPr>
        <w:t xml:space="preserve"> </w:t>
      </w:r>
      <w:r>
        <w:t>University of Chicago</w:t>
      </w:r>
    </w:p>
    <w:p w14:paraId="270C51C2" w14:textId="77777777" w:rsidR="00177887" w:rsidRDefault="004D514D" w:rsidP="004D514D">
      <w:pPr>
        <w:pStyle w:val="VitaPub"/>
        <w:tabs>
          <w:tab w:val="clear" w:pos="720"/>
          <w:tab w:val="left" w:pos="1620"/>
          <w:tab w:val="right" w:pos="9270"/>
        </w:tabs>
        <w:spacing w:after="160"/>
        <w:ind w:left="360" w:firstLine="0"/>
      </w:pPr>
      <w:r>
        <w:t>1997-2000</w:t>
      </w:r>
      <w:r>
        <w:tab/>
      </w:r>
      <w:r w:rsidR="00177887" w:rsidRPr="00645EF0">
        <w:rPr>
          <w:i/>
        </w:rPr>
        <w:t>Research Associate</w:t>
      </w:r>
      <w:r>
        <w:t xml:space="preserve">, </w:t>
      </w:r>
      <w:r w:rsidR="002C4FEA">
        <w:t>MPR Associates, Inc., Berkeley, CA</w:t>
      </w:r>
      <w:r w:rsidR="00177887">
        <w:tab/>
      </w:r>
    </w:p>
    <w:p w14:paraId="4364F472" w14:textId="08862504" w:rsidR="008F770B" w:rsidRDefault="008F770B" w:rsidP="003D761C">
      <w:pPr>
        <w:pStyle w:val="VitaHead"/>
      </w:pPr>
      <w:r>
        <w:lastRenderedPageBreak/>
        <w:t xml:space="preserve">  </w:t>
      </w:r>
      <w:r w:rsidRPr="00692CCC">
        <w:t>Honors</w:t>
      </w:r>
      <w:r>
        <w:t> </w:t>
      </w:r>
    </w:p>
    <w:p w14:paraId="4CB41805" w14:textId="41AD2E9A" w:rsidR="00665B77" w:rsidRDefault="00665B77" w:rsidP="00665B77">
      <w:pPr>
        <w:pStyle w:val="VitaPub"/>
        <w:tabs>
          <w:tab w:val="clear" w:pos="720"/>
        </w:tabs>
        <w:ind w:left="1080"/>
        <w:rPr>
          <w:szCs w:val="24"/>
        </w:rPr>
      </w:pPr>
      <w:r>
        <w:rPr>
          <w:szCs w:val="24"/>
        </w:rPr>
        <w:t>American Sociological Association, Sociology of Education Section, Coleman Award, Honorable Mention</w:t>
      </w:r>
      <w:r w:rsidR="009F0FB8">
        <w:rPr>
          <w:szCs w:val="24"/>
        </w:rPr>
        <w:t>, 2014.</w:t>
      </w:r>
    </w:p>
    <w:p w14:paraId="45E8ABCD" w14:textId="2ADE3F2D" w:rsidR="003C5EED" w:rsidRDefault="003C5EED" w:rsidP="003C5EED">
      <w:pPr>
        <w:pStyle w:val="VitaPub"/>
        <w:ind w:left="1080"/>
      </w:pPr>
      <w:r>
        <w:t xml:space="preserve">Spencer Foundation, </w:t>
      </w:r>
      <w:r w:rsidR="004377D7">
        <w:t>Exemplary Dissertation Award</w:t>
      </w:r>
      <w:r w:rsidR="004833BE">
        <w:t xml:space="preserve">, </w:t>
      </w:r>
      <w:r w:rsidR="007A086C" w:rsidRPr="001D1143">
        <w:t>2008</w:t>
      </w:r>
    </w:p>
    <w:p w14:paraId="59902283" w14:textId="60F23452" w:rsidR="003C5EED" w:rsidRDefault="003C5EED" w:rsidP="003C5EED">
      <w:pPr>
        <w:pStyle w:val="VitaPub"/>
        <w:ind w:left="990" w:hanging="630"/>
      </w:pPr>
      <w:r>
        <w:t xml:space="preserve">David Lee Stevenson Graduate Student Paper Award, Sociology of Education Section, American Sociological Association, 2005 </w:t>
      </w:r>
    </w:p>
    <w:p w14:paraId="614D2725" w14:textId="77777777" w:rsidR="00A910E7" w:rsidRDefault="00A910E7" w:rsidP="00A910E7">
      <w:pPr>
        <w:pStyle w:val="VitaPub"/>
        <w:ind w:left="990" w:hanging="630"/>
      </w:pPr>
      <w:r w:rsidRPr="00E6550D">
        <w:t>Mellon Foundation/University of Chicago Dissertation Write Up Fellowship, 2005-2006</w:t>
      </w:r>
    </w:p>
    <w:p w14:paraId="6D238DD3" w14:textId="20B9E938" w:rsidR="003C5EED" w:rsidRDefault="003C5EED" w:rsidP="003C5EED">
      <w:pPr>
        <w:pStyle w:val="VitaPub"/>
        <w:ind w:left="990" w:hanging="630"/>
      </w:pPr>
      <w:r w:rsidRPr="00E6550D">
        <w:t>Spencer Foundation Dissertation Fellowship, 2004-2005</w:t>
      </w:r>
    </w:p>
    <w:p w14:paraId="3A33354A" w14:textId="100F6373" w:rsidR="003C5EED" w:rsidRDefault="003C5EED" w:rsidP="001D1143">
      <w:pPr>
        <w:pStyle w:val="VitaPub"/>
        <w:ind w:left="990" w:hanging="630"/>
      </w:pPr>
      <w:r w:rsidRPr="00E6550D">
        <w:t>Henderson</w:t>
      </w:r>
      <w:r>
        <w:t xml:space="preserve"> A</w:t>
      </w:r>
      <w:r w:rsidRPr="00E6550D">
        <w:t>ward recipient, University of Chicago Sociology Department, 2002-2003</w:t>
      </w:r>
    </w:p>
    <w:p w14:paraId="2C78999F" w14:textId="2659FC6E" w:rsidR="002C4FBF" w:rsidRDefault="008F770B" w:rsidP="009445D3">
      <w:pPr>
        <w:pStyle w:val="VitaPub"/>
        <w:ind w:left="990" w:hanging="630"/>
      </w:pPr>
      <w:r w:rsidRPr="00E6550D">
        <w:t>American Education Research Association/Spencer Foundation Pre-Dissertation Fellowship, 2002-2003</w:t>
      </w:r>
    </w:p>
    <w:p w14:paraId="42914153" w14:textId="02AC4830" w:rsidR="008F770B" w:rsidRDefault="009445D3" w:rsidP="003D761C">
      <w:pPr>
        <w:pStyle w:val="VitaHead"/>
      </w:pPr>
      <w:r>
        <w:t>Research Activity</w:t>
      </w:r>
      <w:r w:rsidR="008F770B" w:rsidRPr="001D1143">
        <w:t xml:space="preserve"> </w:t>
      </w:r>
    </w:p>
    <w:p w14:paraId="3631ED44" w14:textId="2D6876B6" w:rsidR="009445D3" w:rsidRDefault="009445D3" w:rsidP="009445D3">
      <w:pPr>
        <w:pStyle w:val="VitaPub"/>
        <w:ind w:left="1440" w:hanging="1440"/>
        <w:jc w:val="right"/>
      </w:pPr>
      <w:r>
        <w:rPr>
          <w:i/>
        </w:rPr>
        <w:t>Current/former graduate students</w:t>
      </w:r>
      <w:r w:rsidRPr="004F1304">
        <w:rPr>
          <w:i/>
        </w:rPr>
        <w:t xml:space="preserve"> marked with an asterisk</w:t>
      </w:r>
    </w:p>
    <w:p w14:paraId="5E2489A8" w14:textId="18ACBF41" w:rsidR="009445D3" w:rsidRPr="009445D3" w:rsidRDefault="009445D3" w:rsidP="009445D3">
      <w:pPr>
        <w:pStyle w:val="aasectionsub"/>
      </w:pPr>
      <w:r w:rsidRPr="009445D3">
        <w:t>Books and Book Chapters</w:t>
      </w:r>
    </w:p>
    <w:p w14:paraId="62D10CFB" w14:textId="51076E6A" w:rsidR="00A016F5" w:rsidRDefault="00A016F5" w:rsidP="00A016F5">
      <w:pPr>
        <w:pStyle w:val="VitaPub"/>
        <w:ind w:left="990" w:hanging="630"/>
      </w:pPr>
      <w:r w:rsidRPr="001D1143">
        <w:rPr>
          <w:b/>
          <w:szCs w:val="24"/>
        </w:rPr>
        <w:t>Lauen, D.</w:t>
      </w:r>
      <w:r>
        <w:rPr>
          <w:b/>
          <w:szCs w:val="24"/>
        </w:rPr>
        <w:t xml:space="preserve"> </w:t>
      </w:r>
      <w:r w:rsidRPr="00814E62">
        <w:rPr>
          <w:bCs/>
          <w:szCs w:val="24"/>
        </w:rPr>
        <w:t xml:space="preserve">and </w:t>
      </w:r>
      <w:r>
        <w:rPr>
          <w:bCs/>
          <w:szCs w:val="24"/>
        </w:rPr>
        <w:t>*</w:t>
      </w:r>
      <w:r w:rsidRPr="00814E62">
        <w:rPr>
          <w:bCs/>
          <w:szCs w:val="24"/>
        </w:rPr>
        <w:t>Abbott, K.</w:t>
      </w:r>
      <w:r w:rsidRPr="001D1143">
        <w:rPr>
          <w:szCs w:val="24"/>
        </w:rPr>
        <w:t xml:space="preserve">, </w:t>
      </w:r>
      <w:r>
        <w:rPr>
          <w:szCs w:val="24"/>
        </w:rPr>
        <w:t>(</w:t>
      </w:r>
      <w:r w:rsidR="008B06ED">
        <w:rPr>
          <w:szCs w:val="24"/>
        </w:rPr>
        <w:t>202</w:t>
      </w:r>
      <w:r w:rsidR="00290BCF">
        <w:rPr>
          <w:szCs w:val="24"/>
        </w:rPr>
        <w:t>2</w:t>
      </w:r>
      <w:r>
        <w:rPr>
          <w:szCs w:val="24"/>
        </w:rPr>
        <w:t xml:space="preserve">) </w:t>
      </w:r>
      <w:r w:rsidRPr="001D1143">
        <w:rPr>
          <w:szCs w:val="24"/>
        </w:rPr>
        <w:t xml:space="preserve">“Bringing the Full Picture into Focus: A Consideration of the Internal and External Validity of Charter School Effects,” </w:t>
      </w:r>
      <w:r w:rsidRPr="001D1143">
        <w:rPr>
          <w:i/>
        </w:rPr>
        <w:t>The Role of Socio-Environmental Settings for Learning and Educational Attainment</w:t>
      </w:r>
      <w:r w:rsidRPr="001D1143">
        <w:t>, Knowledge and Space Book Series, Springer Publishing.</w:t>
      </w:r>
      <w:r>
        <w:t xml:space="preserve"> </w:t>
      </w:r>
      <w:r w:rsidRPr="007C79D4">
        <w:t xml:space="preserve"> </w:t>
      </w:r>
    </w:p>
    <w:p w14:paraId="08EBD1E7" w14:textId="69606541" w:rsidR="00A016F5" w:rsidRPr="001D1143" w:rsidRDefault="00A016F5" w:rsidP="00A016F5">
      <w:pPr>
        <w:pStyle w:val="VitaPub"/>
        <w:ind w:left="990" w:hanging="630"/>
      </w:pPr>
      <w:r w:rsidRPr="001D1143">
        <w:rPr>
          <w:szCs w:val="24"/>
        </w:rPr>
        <w:t xml:space="preserve">Freytag, T., </w:t>
      </w:r>
      <w:r w:rsidRPr="001D1143">
        <w:rPr>
          <w:b/>
          <w:szCs w:val="24"/>
        </w:rPr>
        <w:t>Lauen, D</w:t>
      </w:r>
      <w:r w:rsidRPr="001D1143">
        <w:rPr>
          <w:szCs w:val="24"/>
        </w:rPr>
        <w:t>., Robertson, S.</w:t>
      </w:r>
      <w:r w:rsidRPr="001D1143">
        <w:t xml:space="preserve"> (co-editors</w:t>
      </w:r>
      <w:r w:rsidR="008B06ED">
        <w:t>, 202</w:t>
      </w:r>
      <w:r w:rsidR="00290BCF">
        <w:t>2</w:t>
      </w:r>
      <w:r w:rsidRPr="001D1143">
        <w:t xml:space="preserve">). </w:t>
      </w:r>
      <w:r w:rsidRPr="001D1143">
        <w:rPr>
          <w:i/>
        </w:rPr>
        <w:t>The Role of Socio-Environmental Settings for Learning and Educational Attainment</w:t>
      </w:r>
      <w:r w:rsidRPr="001D1143">
        <w:t xml:space="preserve">, Knowledge and Space Book Series, Springer Publishing.  </w:t>
      </w:r>
    </w:p>
    <w:p w14:paraId="05E93228" w14:textId="6535DB22" w:rsidR="008F770B" w:rsidRPr="008F770B" w:rsidRDefault="008F770B" w:rsidP="008F770B">
      <w:pPr>
        <w:pStyle w:val="VitaPub"/>
        <w:ind w:left="990" w:hanging="630"/>
        <w:rPr>
          <w:i/>
        </w:rPr>
      </w:pPr>
      <w:r w:rsidRPr="00692CCC">
        <w:rPr>
          <w:b/>
        </w:rPr>
        <w:t>Lauen, D.</w:t>
      </w:r>
      <w:r w:rsidRPr="00692CCC">
        <w:t xml:space="preserve">, *Levy, B.L., Hedberg, E.C., (2019). “Methods for Examining the Effects of School Poverty on Student Test Score Achievement,” Schneider, B., </w:t>
      </w:r>
      <w:r w:rsidRPr="00692CCC">
        <w:rPr>
          <w:i/>
        </w:rPr>
        <w:t>Handbook of the Sociology of Education in the 21</w:t>
      </w:r>
      <w:r w:rsidRPr="00692CCC">
        <w:rPr>
          <w:i/>
          <w:vertAlign w:val="superscript"/>
        </w:rPr>
        <w:t>st</w:t>
      </w:r>
      <w:r w:rsidRPr="00692CCC">
        <w:rPr>
          <w:i/>
        </w:rPr>
        <w:t xml:space="preserve"> Century</w:t>
      </w:r>
      <w:r w:rsidRPr="00692CCC">
        <w:t>: 493-511</w:t>
      </w:r>
      <w:r w:rsidRPr="00692CCC">
        <w:rPr>
          <w:i/>
        </w:rPr>
        <w:t>.</w:t>
      </w:r>
      <w:r w:rsidRPr="008F770B">
        <w:rPr>
          <w:i/>
        </w:rPr>
        <w:t xml:space="preserve"> </w:t>
      </w:r>
    </w:p>
    <w:p w14:paraId="7393F94B" w14:textId="1D37A5C7" w:rsidR="008F770B" w:rsidRPr="00692CCC" w:rsidRDefault="008F770B" w:rsidP="00692CCC">
      <w:pPr>
        <w:pStyle w:val="VitaPub"/>
        <w:tabs>
          <w:tab w:val="clear" w:pos="720"/>
        </w:tabs>
        <w:ind w:left="990" w:hanging="630"/>
      </w:pPr>
      <w:r w:rsidRPr="00692CCC">
        <w:rPr>
          <w:b/>
        </w:rPr>
        <w:t xml:space="preserve">Lauen, </w:t>
      </w:r>
      <w:proofErr w:type="gramStart"/>
      <w:r w:rsidRPr="00692CCC">
        <w:rPr>
          <w:b/>
        </w:rPr>
        <w:t>D.</w:t>
      </w:r>
      <w:proofErr w:type="gramEnd"/>
      <w:r w:rsidRPr="00692CCC">
        <w:t xml:space="preserve"> and K. Tyson (2009) “Sociological Contributions to Education Policy Research and Debates.” In D. Plank, B. Schneider, and G. Sykes (eds.), </w:t>
      </w:r>
      <w:r w:rsidRPr="00692CCC">
        <w:rPr>
          <w:i/>
        </w:rPr>
        <w:t>Handbook on Education Policy Research</w:t>
      </w:r>
      <w:r w:rsidRPr="00692CCC">
        <w:t xml:space="preserve">. (pp. 71-82) American Educational Research Association. </w:t>
      </w:r>
    </w:p>
    <w:p w14:paraId="1CC08046" w14:textId="7321D276" w:rsidR="008F770B" w:rsidRPr="00E6550D" w:rsidRDefault="008F770B" w:rsidP="008F770B">
      <w:pPr>
        <w:pStyle w:val="VitaPub"/>
        <w:tabs>
          <w:tab w:val="clear" w:pos="720"/>
        </w:tabs>
        <w:ind w:left="990" w:hanging="630"/>
      </w:pPr>
      <w:r w:rsidRPr="00692CCC">
        <w:rPr>
          <w:b/>
        </w:rPr>
        <w:t>Lauen, D.</w:t>
      </w:r>
      <w:r w:rsidRPr="00692CCC">
        <w:t xml:space="preserve"> (2007) “False Promises: The School Choice Provisions in the No Child Left Behind Act.” In A. </w:t>
      </w:r>
      <w:proofErr w:type="spellStart"/>
      <w:r w:rsidRPr="00692CCC">
        <w:t>Sadovnik</w:t>
      </w:r>
      <w:proofErr w:type="spellEnd"/>
      <w:r w:rsidRPr="00692CCC">
        <w:t xml:space="preserve">, J. </w:t>
      </w:r>
      <w:proofErr w:type="spellStart"/>
      <w:r w:rsidRPr="00692CCC">
        <w:t>O’Day</w:t>
      </w:r>
      <w:proofErr w:type="spellEnd"/>
      <w:r w:rsidRPr="00692CCC">
        <w:t xml:space="preserve">, K. Borman, and G. </w:t>
      </w:r>
      <w:proofErr w:type="spellStart"/>
      <w:r w:rsidRPr="00692CCC">
        <w:t>Bohrnstedt</w:t>
      </w:r>
      <w:proofErr w:type="spellEnd"/>
      <w:r w:rsidRPr="00692CCC">
        <w:rPr>
          <w:i/>
        </w:rPr>
        <w:t xml:space="preserve"> </w:t>
      </w:r>
      <w:r w:rsidRPr="00692CCC">
        <w:t xml:space="preserve">(eds), </w:t>
      </w:r>
      <w:r w:rsidRPr="00692CCC">
        <w:rPr>
          <w:i/>
        </w:rPr>
        <w:t>No Child Left Behind and the Reduction of the Achievement Gap: Sociological Perspectives on Federal Educational Policy</w:t>
      </w:r>
      <w:r w:rsidRPr="00692CCC">
        <w:t xml:space="preserve"> (203-226). New York, NY: Routledge. [Also reprinted in </w:t>
      </w:r>
      <w:r w:rsidRPr="00692CCC">
        <w:rPr>
          <w:i/>
        </w:rPr>
        <w:t>Sociology of Education: A Critical Reader</w:t>
      </w:r>
      <w:r w:rsidRPr="00692CCC">
        <w:t xml:space="preserve">, Edited by A. </w:t>
      </w:r>
      <w:proofErr w:type="spellStart"/>
      <w:r w:rsidRPr="00692CCC">
        <w:t>Sadovnik</w:t>
      </w:r>
      <w:proofErr w:type="spellEnd"/>
      <w:r w:rsidRPr="00692CCC">
        <w:t>, Routledge, 1</w:t>
      </w:r>
      <w:r w:rsidRPr="00692CCC">
        <w:rPr>
          <w:vertAlign w:val="superscript"/>
        </w:rPr>
        <w:t>st</w:t>
      </w:r>
      <w:r w:rsidRPr="00692CCC">
        <w:t xml:space="preserve"> edition, 2007 and 2</w:t>
      </w:r>
      <w:r w:rsidRPr="00692CCC">
        <w:rPr>
          <w:vertAlign w:val="superscript"/>
        </w:rPr>
        <w:t>nd</w:t>
      </w:r>
      <w:r w:rsidRPr="00692CCC">
        <w:t xml:space="preserve"> edition, 2011.]</w:t>
      </w:r>
    </w:p>
    <w:p w14:paraId="1EA94DEE" w14:textId="2239548D" w:rsidR="003D761C" w:rsidRDefault="001C627F" w:rsidP="00302139">
      <w:pPr>
        <w:pStyle w:val="aasectionsub"/>
        <w:keepNext/>
        <w:keepLines/>
      </w:pPr>
      <w:r>
        <w:lastRenderedPageBreak/>
        <w:t xml:space="preserve">Refereed </w:t>
      </w:r>
      <w:r w:rsidR="00692CCC">
        <w:t>Articles</w:t>
      </w:r>
    </w:p>
    <w:p w14:paraId="593DB899" w14:textId="5BC2A378" w:rsidR="005F7803" w:rsidRPr="00ED7BFB" w:rsidRDefault="005F7803" w:rsidP="005F7803">
      <w:pPr>
        <w:pStyle w:val="VitaPub"/>
        <w:keepNext/>
        <w:keepLines/>
        <w:ind w:left="990" w:hanging="630"/>
        <w:rPr>
          <w:iCs/>
        </w:rPr>
      </w:pPr>
      <w:r w:rsidRPr="00FF51A4">
        <w:rPr>
          <w:iCs/>
        </w:rPr>
        <w:t xml:space="preserve">Fuller, S., </w:t>
      </w:r>
      <w:r w:rsidRPr="00FF51A4">
        <w:rPr>
          <w:b/>
          <w:bCs/>
          <w:iCs/>
        </w:rPr>
        <w:t>Lauen, D.</w:t>
      </w:r>
      <w:r w:rsidRPr="00FF51A4">
        <w:rPr>
          <w:iCs/>
        </w:rPr>
        <w:t xml:space="preserve">, Unlu, F. </w:t>
      </w:r>
      <w:bookmarkStart w:id="0" w:name="_Hlk22800000"/>
      <w:r>
        <w:rPr>
          <w:iCs/>
        </w:rPr>
        <w:t xml:space="preserve">(Forthcoming) </w:t>
      </w:r>
      <w:r w:rsidRPr="00FF51A4">
        <w:rPr>
          <w:iCs/>
        </w:rPr>
        <w:t xml:space="preserve">“Leveraging Lottery and Quasi-Experimental Evidence to Assess the Generalizability of the Effects of Early Colleges in North Carolina” </w:t>
      </w:r>
      <w:bookmarkEnd w:id="0"/>
      <w:r w:rsidRPr="005F7803">
        <w:rPr>
          <w:i/>
        </w:rPr>
        <w:t>Education Finance and Policy</w:t>
      </w:r>
      <w:r>
        <w:rPr>
          <w:iCs/>
        </w:rPr>
        <w:t xml:space="preserve">. </w:t>
      </w:r>
    </w:p>
    <w:p w14:paraId="01F552B7" w14:textId="67AA45F3" w:rsidR="00F30A97" w:rsidRDefault="00F30A97" w:rsidP="00302139">
      <w:pPr>
        <w:pStyle w:val="VitaPub"/>
        <w:keepNext/>
        <w:keepLines/>
        <w:ind w:left="990" w:hanging="630"/>
        <w:rPr>
          <w:szCs w:val="24"/>
        </w:rPr>
      </w:pPr>
      <w:r>
        <w:rPr>
          <w:szCs w:val="24"/>
        </w:rPr>
        <w:t xml:space="preserve">Powers, KA, Sullivan, K.M., Zadrozny, S.L., Shook, B.E., Byrnes, R., Bogojevich, D.A., </w:t>
      </w:r>
      <w:r w:rsidRPr="00302139">
        <w:rPr>
          <w:b/>
          <w:bCs/>
          <w:szCs w:val="24"/>
        </w:rPr>
        <w:t>Lauen, D.</w:t>
      </w:r>
      <w:r>
        <w:rPr>
          <w:szCs w:val="24"/>
        </w:rPr>
        <w:t>, Thompson, P., Robinson, W.R., Gordon</w:t>
      </w:r>
      <w:r w:rsidR="00342229">
        <w:rPr>
          <w:szCs w:val="24"/>
        </w:rPr>
        <w:t xml:space="preserve">-Larsen, P., Aiello, A.E. (Forthcoming). “North Carolina Teachers’ Contact Patterns and Mask Use Within and Outside of School During the </w:t>
      </w:r>
      <w:proofErr w:type="spellStart"/>
      <w:r w:rsidR="00342229">
        <w:rPr>
          <w:szCs w:val="24"/>
        </w:rPr>
        <w:t>Prevaccine</w:t>
      </w:r>
      <w:proofErr w:type="spellEnd"/>
      <w:r w:rsidR="00342229">
        <w:rPr>
          <w:szCs w:val="24"/>
        </w:rPr>
        <w:t xml:space="preserve"> Phase of the COVID-19 Pandemic,” </w:t>
      </w:r>
      <w:r w:rsidR="00342229" w:rsidRPr="00302139">
        <w:rPr>
          <w:i/>
          <w:iCs/>
          <w:szCs w:val="24"/>
        </w:rPr>
        <w:t>American Journal of Infection Control</w:t>
      </w:r>
      <w:r w:rsidR="00816232">
        <w:rPr>
          <w:szCs w:val="24"/>
        </w:rPr>
        <w:t>.</w:t>
      </w:r>
    </w:p>
    <w:p w14:paraId="431AD641" w14:textId="64874557" w:rsidR="00465A53" w:rsidRDefault="00465A53" w:rsidP="00C15A9A">
      <w:pPr>
        <w:pStyle w:val="VitaPub"/>
        <w:ind w:left="990" w:hanging="630"/>
        <w:rPr>
          <w:szCs w:val="24"/>
        </w:rPr>
      </w:pPr>
      <w:r>
        <w:rPr>
          <w:szCs w:val="24"/>
        </w:rPr>
        <w:t xml:space="preserve">Glennie, E., Unlu, F., Edmunds, JE, </w:t>
      </w:r>
      <w:r w:rsidRPr="00302139">
        <w:rPr>
          <w:b/>
          <w:bCs/>
          <w:szCs w:val="24"/>
        </w:rPr>
        <w:t>Lauen, D.</w:t>
      </w:r>
      <w:r>
        <w:rPr>
          <w:szCs w:val="24"/>
        </w:rPr>
        <w:t>, Fuller, S.C. (Forthcoming). “Missing Academic Targets in Ninth Grade: Do Early College High Schools Give Students Second Chances for College?” Research in Higher Education</w:t>
      </w:r>
      <w:r w:rsidR="00816232">
        <w:rPr>
          <w:szCs w:val="24"/>
        </w:rPr>
        <w:t>.</w:t>
      </w:r>
    </w:p>
    <w:p w14:paraId="6338FF79" w14:textId="68723F5A" w:rsidR="00C15A9A" w:rsidRDefault="00C15A9A" w:rsidP="00C15A9A">
      <w:pPr>
        <w:pStyle w:val="VitaPub"/>
        <w:ind w:left="990" w:hanging="630"/>
        <w:rPr>
          <w:szCs w:val="24"/>
        </w:rPr>
      </w:pPr>
      <w:r w:rsidRPr="001D1143">
        <w:rPr>
          <w:szCs w:val="24"/>
        </w:rPr>
        <w:t>*Swiderski, T</w:t>
      </w:r>
      <w:r>
        <w:rPr>
          <w:b/>
          <w:bCs/>
          <w:szCs w:val="24"/>
        </w:rPr>
        <w:t xml:space="preserve">, </w:t>
      </w:r>
      <w:r w:rsidRPr="00FF51A4">
        <w:rPr>
          <w:b/>
          <w:bCs/>
          <w:szCs w:val="24"/>
        </w:rPr>
        <w:t>Lauen, D.</w:t>
      </w:r>
      <w:r w:rsidRPr="001D1143">
        <w:rPr>
          <w:szCs w:val="24"/>
        </w:rPr>
        <w:t>, Unlu, F., Fuller, S.C.</w:t>
      </w:r>
      <w:r w:rsidR="008F5FBA">
        <w:rPr>
          <w:szCs w:val="24"/>
        </w:rPr>
        <w:t xml:space="preserve"> (2021)</w:t>
      </w:r>
      <w:r w:rsidRPr="001D1143">
        <w:rPr>
          <w:szCs w:val="24"/>
        </w:rPr>
        <w:t xml:space="preserve"> “A Path Towards Citizenship: The Effects of Early College High Schools on Criminal Convictions and Voting</w:t>
      </w:r>
      <w:r>
        <w:rPr>
          <w:szCs w:val="24"/>
        </w:rPr>
        <w:t>.</w:t>
      </w:r>
      <w:r w:rsidRPr="001D1143">
        <w:rPr>
          <w:szCs w:val="24"/>
        </w:rPr>
        <w:t xml:space="preserve">” </w:t>
      </w:r>
      <w:r>
        <w:rPr>
          <w:szCs w:val="24"/>
        </w:rPr>
        <w:t xml:space="preserve">Forthcoming, </w:t>
      </w:r>
      <w:r w:rsidRPr="00C15A9A">
        <w:rPr>
          <w:i/>
          <w:iCs/>
          <w:szCs w:val="24"/>
        </w:rPr>
        <w:t>Social Science Review</w:t>
      </w:r>
      <w:r>
        <w:rPr>
          <w:szCs w:val="24"/>
        </w:rPr>
        <w:t xml:space="preserve">. </w:t>
      </w:r>
    </w:p>
    <w:p w14:paraId="525D300C" w14:textId="77777777" w:rsidR="00647683" w:rsidRPr="0036090A" w:rsidRDefault="00647683" w:rsidP="00647683">
      <w:pPr>
        <w:pStyle w:val="VitaPub"/>
        <w:ind w:left="990" w:hanging="630"/>
        <w:rPr>
          <w:iCs/>
          <w:szCs w:val="24"/>
        </w:rPr>
      </w:pPr>
      <w:r w:rsidRPr="001D1143">
        <w:rPr>
          <w:szCs w:val="24"/>
        </w:rPr>
        <w:t xml:space="preserve">Unlu, F., </w:t>
      </w:r>
      <w:r w:rsidRPr="00FF51A4">
        <w:rPr>
          <w:b/>
          <w:bCs/>
          <w:szCs w:val="24"/>
        </w:rPr>
        <w:t>Lauen, D.</w:t>
      </w:r>
      <w:r w:rsidRPr="001D1143">
        <w:rPr>
          <w:szCs w:val="24"/>
        </w:rPr>
        <w:t>, Tsai, T., Fuller, S., *</w:t>
      </w:r>
      <w:proofErr w:type="spellStart"/>
      <w:r w:rsidRPr="001D1143">
        <w:rPr>
          <w:szCs w:val="24"/>
        </w:rPr>
        <w:t>Estrera</w:t>
      </w:r>
      <w:proofErr w:type="spellEnd"/>
      <w:r w:rsidRPr="001D1143">
        <w:rPr>
          <w:szCs w:val="24"/>
        </w:rPr>
        <w:t xml:space="preserve">, E. </w:t>
      </w:r>
      <w:r>
        <w:rPr>
          <w:szCs w:val="24"/>
        </w:rPr>
        <w:t xml:space="preserve">(2021) </w:t>
      </w:r>
      <w:r w:rsidRPr="001D1143">
        <w:rPr>
          <w:szCs w:val="24"/>
        </w:rPr>
        <w:t>“Can Quasi-Experimental Evaluations that Rely on State Longitudinal Data Systems Replicate Experimental Results: Findings from a Within-Study Comparison</w:t>
      </w:r>
      <w:r>
        <w:rPr>
          <w:szCs w:val="24"/>
        </w:rPr>
        <w:t>.</w:t>
      </w:r>
      <w:r w:rsidRPr="001D1143">
        <w:rPr>
          <w:szCs w:val="24"/>
        </w:rPr>
        <w:t xml:space="preserve">” </w:t>
      </w:r>
      <w:r w:rsidRPr="001D1143">
        <w:rPr>
          <w:i/>
          <w:szCs w:val="24"/>
        </w:rPr>
        <w:t>Journal of Policy Analysis and Management</w:t>
      </w:r>
      <w:r w:rsidRPr="0036090A">
        <w:rPr>
          <w:iCs/>
          <w:szCs w:val="24"/>
        </w:rPr>
        <w:t xml:space="preserve">, 40(2): 572-613. </w:t>
      </w:r>
    </w:p>
    <w:p w14:paraId="54E99B63" w14:textId="5BC8F5C4" w:rsidR="001B1A40" w:rsidRDefault="001B1A40" w:rsidP="001B1A40">
      <w:pPr>
        <w:pStyle w:val="VitaPub"/>
        <w:ind w:left="990" w:hanging="630"/>
        <w:rPr>
          <w:szCs w:val="24"/>
        </w:rPr>
      </w:pPr>
      <w:r w:rsidRPr="001D1143">
        <w:rPr>
          <w:szCs w:val="24"/>
        </w:rPr>
        <w:t xml:space="preserve">Kearns, C., </w:t>
      </w:r>
      <w:r w:rsidR="00F30C26" w:rsidRPr="00FF51A4">
        <w:rPr>
          <w:b/>
          <w:bCs/>
          <w:szCs w:val="24"/>
        </w:rPr>
        <w:t>Lauen, D.</w:t>
      </w:r>
      <w:r w:rsidR="00F30C26" w:rsidRPr="00F30C26">
        <w:rPr>
          <w:szCs w:val="24"/>
        </w:rPr>
        <w:t>,</w:t>
      </w:r>
      <w:r w:rsidR="00F30C26">
        <w:rPr>
          <w:b/>
          <w:bCs/>
          <w:szCs w:val="24"/>
        </w:rPr>
        <w:t xml:space="preserve"> </w:t>
      </w:r>
      <w:r w:rsidRPr="001D1143">
        <w:rPr>
          <w:szCs w:val="24"/>
        </w:rPr>
        <w:t xml:space="preserve">Fuller, B. </w:t>
      </w:r>
      <w:r w:rsidR="00213BB1">
        <w:rPr>
          <w:szCs w:val="24"/>
        </w:rPr>
        <w:t xml:space="preserve">(2020) </w:t>
      </w:r>
      <w:r w:rsidRPr="001D1143">
        <w:rPr>
          <w:szCs w:val="24"/>
        </w:rPr>
        <w:t>“</w:t>
      </w:r>
      <w:r w:rsidR="00F30C26">
        <w:t>Competing with Charter Schools – Evaluating Student Selection, Retention, and Achievement in Los Angeles Pilot Schools</w:t>
      </w:r>
      <w:r w:rsidRPr="001D1143">
        <w:rPr>
          <w:szCs w:val="24"/>
        </w:rPr>
        <w:t>,”</w:t>
      </w:r>
      <w:r>
        <w:rPr>
          <w:szCs w:val="24"/>
        </w:rPr>
        <w:t xml:space="preserve"> </w:t>
      </w:r>
      <w:r w:rsidRPr="0087438E">
        <w:rPr>
          <w:i/>
          <w:iCs/>
          <w:szCs w:val="24"/>
        </w:rPr>
        <w:t>Evaluation Review</w:t>
      </w:r>
      <w:r w:rsidR="00213BB1">
        <w:rPr>
          <w:szCs w:val="24"/>
        </w:rPr>
        <w:t xml:space="preserve">, 44(2-3): 111-144. </w:t>
      </w:r>
    </w:p>
    <w:p w14:paraId="6C3B5A4F" w14:textId="5C8E8A96" w:rsidR="00DD24AE" w:rsidRPr="008A1C96" w:rsidRDefault="00DD24AE" w:rsidP="00DD24AE">
      <w:pPr>
        <w:pStyle w:val="VitaPub"/>
        <w:ind w:left="990" w:hanging="630"/>
        <w:rPr>
          <w:i/>
          <w:szCs w:val="24"/>
        </w:rPr>
      </w:pPr>
      <w:r w:rsidRPr="001D1143">
        <w:rPr>
          <w:szCs w:val="24"/>
        </w:rPr>
        <w:t xml:space="preserve">McEachin, A., </w:t>
      </w:r>
      <w:r w:rsidRPr="00FF51A4">
        <w:rPr>
          <w:b/>
          <w:bCs/>
          <w:szCs w:val="24"/>
        </w:rPr>
        <w:t>Lauen, D.</w:t>
      </w:r>
      <w:r w:rsidRPr="001D1143">
        <w:rPr>
          <w:szCs w:val="24"/>
        </w:rPr>
        <w:t>, Fuller, S.C.</w:t>
      </w:r>
      <w:r>
        <w:rPr>
          <w:szCs w:val="24"/>
        </w:rPr>
        <w:t>, Perera, R.M. (2020)</w:t>
      </w:r>
      <w:r w:rsidRPr="001D1143">
        <w:rPr>
          <w:szCs w:val="24"/>
        </w:rPr>
        <w:t xml:space="preserve"> “</w:t>
      </w:r>
      <w:r>
        <w:rPr>
          <w:szCs w:val="24"/>
        </w:rPr>
        <w:t xml:space="preserve">Social Returns to Private Choice: </w:t>
      </w:r>
      <w:r w:rsidRPr="001D1143">
        <w:rPr>
          <w:szCs w:val="24"/>
        </w:rPr>
        <w:t xml:space="preserve">Effects </w:t>
      </w:r>
      <w:r>
        <w:rPr>
          <w:szCs w:val="24"/>
        </w:rPr>
        <w:t xml:space="preserve">of Charter Schools </w:t>
      </w:r>
      <w:r w:rsidRPr="001D1143">
        <w:rPr>
          <w:szCs w:val="24"/>
        </w:rPr>
        <w:t>on Behavioral</w:t>
      </w:r>
      <w:r>
        <w:rPr>
          <w:szCs w:val="24"/>
        </w:rPr>
        <w:t xml:space="preserve"> Outcomes</w:t>
      </w:r>
      <w:r w:rsidRPr="001D1143">
        <w:rPr>
          <w:szCs w:val="24"/>
        </w:rPr>
        <w:t xml:space="preserve">, </w:t>
      </w:r>
      <w:r w:rsidR="00427194">
        <w:rPr>
          <w:szCs w:val="24"/>
        </w:rPr>
        <w:t>Convictions</w:t>
      </w:r>
      <w:r w:rsidRPr="001D1143">
        <w:rPr>
          <w:szCs w:val="24"/>
        </w:rPr>
        <w:t xml:space="preserve">, and </w:t>
      </w:r>
      <w:r w:rsidR="00427194">
        <w:rPr>
          <w:szCs w:val="24"/>
        </w:rPr>
        <w:t>C</w:t>
      </w:r>
      <w:r w:rsidRPr="001D1143">
        <w:rPr>
          <w:szCs w:val="24"/>
        </w:rPr>
        <w:t>ivic</w:t>
      </w:r>
      <w:r w:rsidR="00427194">
        <w:rPr>
          <w:szCs w:val="24"/>
        </w:rPr>
        <w:t xml:space="preserve"> Participation</w:t>
      </w:r>
      <w:r w:rsidRPr="001D1143">
        <w:rPr>
          <w:szCs w:val="24"/>
        </w:rPr>
        <w:t>.”</w:t>
      </w:r>
      <w:r>
        <w:rPr>
          <w:szCs w:val="24"/>
        </w:rPr>
        <w:t xml:space="preserve"> </w:t>
      </w:r>
      <w:r w:rsidRPr="0087438E">
        <w:rPr>
          <w:i/>
          <w:iCs/>
          <w:szCs w:val="24"/>
        </w:rPr>
        <w:t>Economics of Education Review</w:t>
      </w:r>
      <w:r w:rsidR="00511B07">
        <w:rPr>
          <w:i/>
          <w:iCs/>
          <w:szCs w:val="24"/>
        </w:rPr>
        <w:t xml:space="preserve">. </w:t>
      </w:r>
      <w:r w:rsidR="00D46820">
        <w:rPr>
          <w:i/>
          <w:iCs/>
          <w:szCs w:val="24"/>
        </w:rPr>
        <w:t xml:space="preserve">76, June 2020, 101983, </w:t>
      </w:r>
      <w:hyperlink r:id="rId9" w:history="1">
        <w:r w:rsidR="00A6337B" w:rsidRPr="005D087F">
          <w:rPr>
            <w:rStyle w:val="Hyperlink"/>
            <w:i/>
            <w:iCs/>
            <w:szCs w:val="24"/>
          </w:rPr>
          <w:t>https://doi.org/10.1016/j.econedurev.2020.101983</w:t>
        </w:r>
      </w:hyperlink>
      <w:r w:rsidR="00511B07">
        <w:rPr>
          <w:i/>
          <w:iCs/>
          <w:szCs w:val="24"/>
        </w:rPr>
        <w:t xml:space="preserve"> </w:t>
      </w:r>
    </w:p>
    <w:p w14:paraId="1B95034E" w14:textId="26BE583B" w:rsidR="00022D0B" w:rsidRPr="007C79D4" w:rsidRDefault="00022D0B" w:rsidP="00022D0B">
      <w:pPr>
        <w:pStyle w:val="VitaPub"/>
        <w:ind w:left="990" w:hanging="630"/>
        <w:rPr>
          <w:szCs w:val="24"/>
        </w:rPr>
      </w:pPr>
      <w:r w:rsidRPr="007C79D4">
        <w:rPr>
          <w:szCs w:val="24"/>
        </w:rPr>
        <w:t xml:space="preserve">*Spees, L., </w:t>
      </w:r>
      <w:r w:rsidRPr="00047FF5">
        <w:rPr>
          <w:b/>
          <w:szCs w:val="24"/>
        </w:rPr>
        <w:t>Lauen, D.</w:t>
      </w:r>
      <w:r w:rsidR="00745C3D">
        <w:rPr>
          <w:szCs w:val="24"/>
        </w:rPr>
        <w:t xml:space="preserve"> (</w:t>
      </w:r>
      <w:r w:rsidR="00047FF5">
        <w:rPr>
          <w:szCs w:val="24"/>
        </w:rPr>
        <w:t>2019</w:t>
      </w:r>
      <w:r w:rsidR="00745C3D">
        <w:rPr>
          <w:szCs w:val="24"/>
        </w:rPr>
        <w:t>)</w:t>
      </w:r>
      <w:r w:rsidRPr="007C79D4">
        <w:rPr>
          <w:szCs w:val="24"/>
        </w:rPr>
        <w:t xml:space="preserve"> “Switchers and Stayers: Charter School Effectiveness in North Carolina, 2004-2015” </w:t>
      </w:r>
      <w:r w:rsidRPr="007C79D4">
        <w:rPr>
          <w:i/>
          <w:szCs w:val="24"/>
        </w:rPr>
        <w:t>American Journal of Education</w:t>
      </w:r>
      <w:r w:rsidR="00D46820" w:rsidRPr="00D46820">
        <w:rPr>
          <w:iCs/>
          <w:szCs w:val="24"/>
        </w:rPr>
        <w:t>:</w:t>
      </w:r>
      <w:r w:rsidR="00047FF5">
        <w:rPr>
          <w:i/>
          <w:szCs w:val="24"/>
        </w:rPr>
        <w:t xml:space="preserve"> </w:t>
      </w:r>
      <w:r w:rsidR="00D46820" w:rsidRPr="00D46820">
        <w:rPr>
          <w:iCs/>
          <w:szCs w:val="24"/>
        </w:rPr>
        <w:t>125(3): 417-451.</w:t>
      </w:r>
      <w:r w:rsidR="00D46820">
        <w:rPr>
          <w:i/>
          <w:szCs w:val="24"/>
        </w:rPr>
        <w:t xml:space="preserve"> </w:t>
      </w:r>
    </w:p>
    <w:p w14:paraId="3CBEA917" w14:textId="5599B78B" w:rsidR="00412DD2" w:rsidRPr="007C79D4" w:rsidRDefault="00D33D07" w:rsidP="00412DD2">
      <w:pPr>
        <w:pStyle w:val="VitaPub"/>
        <w:ind w:left="990" w:hanging="630"/>
        <w:rPr>
          <w:szCs w:val="24"/>
        </w:rPr>
      </w:pPr>
      <w:r w:rsidRPr="007C79D4">
        <w:rPr>
          <w:szCs w:val="24"/>
        </w:rPr>
        <w:t>*</w:t>
      </w:r>
      <w:r w:rsidR="00412DD2" w:rsidRPr="007C79D4">
        <w:rPr>
          <w:szCs w:val="24"/>
        </w:rPr>
        <w:t xml:space="preserve">Kozlowski, K., </w:t>
      </w:r>
      <w:r w:rsidR="00412DD2" w:rsidRPr="007C79D4">
        <w:rPr>
          <w:b/>
          <w:szCs w:val="24"/>
        </w:rPr>
        <w:t>Lauen, D.</w:t>
      </w:r>
      <w:r w:rsidR="00412DD2" w:rsidRPr="007C79D4">
        <w:rPr>
          <w:szCs w:val="24"/>
        </w:rPr>
        <w:t xml:space="preserve"> (</w:t>
      </w:r>
      <w:r w:rsidR="00DB19F0">
        <w:rPr>
          <w:szCs w:val="24"/>
        </w:rPr>
        <w:t>2019</w:t>
      </w:r>
      <w:r w:rsidR="00412DD2" w:rsidRPr="007C79D4">
        <w:rPr>
          <w:szCs w:val="24"/>
        </w:rPr>
        <w:t xml:space="preserve">) “Understanding Teacher Pay for Performance: Flawed Assumptions and Disappointing Results” </w:t>
      </w:r>
      <w:r w:rsidR="00412DD2" w:rsidRPr="007C79D4">
        <w:rPr>
          <w:i/>
          <w:szCs w:val="24"/>
        </w:rPr>
        <w:t>Teachers College Record</w:t>
      </w:r>
      <w:r w:rsidR="00047FF5">
        <w:rPr>
          <w:i/>
          <w:szCs w:val="24"/>
        </w:rPr>
        <w:t>,</w:t>
      </w:r>
      <w:r w:rsidR="00412DD2" w:rsidRPr="007C79D4">
        <w:rPr>
          <w:szCs w:val="24"/>
        </w:rPr>
        <w:t xml:space="preserve"> </w:t>
      </w:r>
      <w:r w:rsidR="00DB19F0">
        <w:rPr>
          <w:szCs w:val="24"/>
        </w:rPr>
        <w:t>121(2)</w:t>
      </w:r>
      <w:r w:rsidR="00692CCC">
        <w:rPr>
          <w:szCs w:val="24"/>
        </w:rPr>
        <w:t>: 1-38.</w:t>
      </w:r>
    </w:p>
    <w:p w14:paraId="4DD0033C" w14:textId="09FB80D3" w:rsidR="00485FAA" w:rsidRDefault="00485FAA" w:rsidP="00485FAA">
      <w:pPr>
        <w:pStyle w:val="VitaPub"/>
        <w:ind w:left="990" w:hanging="630"/>
        <w:rPr>
          <w:b/>
        </w:rPr>
      </w:pPr>
      <w:r>
        <w:rPr>
          <w:b/>
        </w:rPr>
        <w:t>Lauen, D.</w:t>
      </w:r>
      <w:r w:rsidRPr="008956C5">
        <w:t>,</w:t>
      </w:r>
      <w:r>
        <w:rPr>
          <w:b/>
        </w:rPr>
        <w:t xml:space="preserve"> </w:t>
      </w:r>
      <w:r w:rsidRPr="008956C5">
        <w:t xml:space="preserve">Barrett, N., Fuller, S.F., </w:t>
      </w:r>
      <w:r w:rsidR="00D33D07">
        <w:t>*</w:t>
      </w:r>
      <w:proofErr w:type="spellStart"/>
      <w:r w:rsidRPr="008956C5">
        <w:t>Janda</w:t>
      </w:r>
      <w:proofErr w:type="spellEnd"/>
      <w:r w:rsidRPr="008956C5">
        <w:t>, L.</w:t>
      </w:r>
      <w:r w:rsidR="007B7468">
        <w:t xml:space="preserve"> (</w:t>
      </w:r>
      <w:r w:rsidR="00777980">
        <w:t>2017</w:t>
      </w:r>
      <w:r w:rsidR="007B7468">
        <w:t>)</w:t>
      </w:r>
      <w:r w:rsidRPr="008956C5">
        <w:t xml:space="preserve"> “</w:t>
      </w:r>
      <w:r w:rsidR="00612E23">
        <w:t>Early Colleges at Scale: Impacts</w:t>
      </w:r>
      <w:r w:rsidRPr="008956C5">
        <w:t xml:space="preserve"> on Secondary and Postsecondary Outcomes.</w:t>
      </w:r>
      <w:r w:rsidR="00612E23">
        <w:t>”</w:t>
      </w:r>
      <w:r w:rsidRPr="00485FAA">
        <w:t xml:space="preserve"> </w:t>
      </w:r>
      <w:r w:rsidRPr="00485FAA">
        <w:rPr>
          <w:i/>
        </w:rPr>
        <w:t>American Journal of Education</w:t>
      </w:r>
      <w:r w:rsidR="006E6CC1">
        <w:t>, 123(4): 523-551</w:t>
      </w:r>
      <w:r w:rsidRPr="00485FAA">
        <w:t>.</w:t>
      </w:r>
      <w:r>
        <w:rPr>
          <w:b/>
        </w:rPr>
        <w:t xml:space="preserve"> </w:t>
      </w:r>
    </w:p>
    <w:p w14:paraId="041C2560" w14:textId="78CF3FD1" w:rsidR="003018E9" w:rsidRPr="003018E9" w:rsidRDefault="003018E9" w:rsidP="00C03ABA">
      <w:pPr>
        <w:pStyle w:val="VitaPub"/>
        <w:ind w:left="990" w:hanging="630"/>
      </w:pPr>
      <w:r w:rsidRPr="003018E9">
        <w:t>Jennings, J. and</w:t>
      </w:r>
      <w:r>
        <w:rPr>
          <w:b/>
        </w:rPr>
        <w:t xml:space="preserve"> Lauen, D. </w:t>
      </w:r>
      <w:r w:rsidR="004270C8" w:rsidRPr="004270C8">
        <w:t xml:space="preserve">(2016) </w:t>
      </w:r>
      <w:r>
        <w:t>“Accountability, Inequality, and Achievement: The Effects of the No Child Left Behind Act on Multiple</w:t>
      </w:r>
      <w:r w:rsidR="004270C8">
        <w:t xml:space="preserve"> Measures of Student Learning.”</w:t>
      </w:r>
      <w:r w:rsidR="00834CF2">
        <w:t xml:space="preserve"> </w:t>
      </w:r>
      <w:r w:rsidR="00834CF2" w:rsidRPr="00834CF2">
        <w:rPr>
          <w:i/>
        </w:rPr>
        <w:t>Russell Sage Journal of the Social Science</w:t>
      </w:r>
      <w:r w:rsidR="00834CF2">
        <w:t xml:space="preserve">. </w:t>
      </w:r>
      <w:r w:rsidR="004270C8">
        <w:t xml:space="preserve">2(5): 220-241. </w:t>
      </w:r>
    </w:p>
    <w:p w14:paraId="085EB1B3" w14:textId="1089C8D7" w:rsidR="00C03ABA" w:rsidRDefault="00C03ABA" w:rsidP="00C03ABA">
      <w:pPr>
        <w:pStyle w:val="VitaPub"/>
        <w:ind w:left="990" w:hanging="630"/>
      </w:pPr>
      <w:r>
        <w:rPr>
          <w:b/>
        </w:rPr>
        <w:t>Lauen, D.</w:t>
      </w:r>
      <w:r>
        <w:t xml:space="preserve"> and </w:t>
      </w:r>
      <w:r w:rsidR="00D33D07">
        <w:t>*</w:t>
      </w:r>
      <w:r>
        <w:t xml:space="preserve">Gaddis, M. </w:t>
      </w:r>
      <w:r w:rsidR="00834CF2">
        <w:t xml:space="preserve">(2016) </w:t>
      </w:r>
      <w:r>
        <w:t xml:space="preserve">“Accountability Pressure, Academic Standards, and Educational Triage.” </w:t>
      </w:r>
      <w:r w:rsidRPr="008956C5">
        <w:rPr>
          <w:i/>
        </w:rPr>
        <w:t>Educational Evaluation and Policy Analysis</w:t>
      </w:r>
      <w:r w:rsidR="00834CF2">
        <w:t xml:space="preserve"> 38(1): 127-147.</w:t>
      </w:r>
    </w:p>
    <w:p w14:paraId="2E5C9B18" w14:textId="0EEB9280" w:rsidR="00E54B1B" w:rsidRDefault="00E54B1B" w:rsidP="00E54B1B">
      <w:pPr>
        <w:pStyle w:val="VitaPub"/>
        <w:ind w:left="990" w:hanging="630"/>
      </w:pPr>
      <w:r>
        <w:rPr>
          <w:b/>
        </w:rPr>
        <w:lastRenderedPageBreak/>
        <w:t>Lauen, D.</w:t>
      </w:r>
      <w:r>
        <w:t>, Fuller, B.</w:t>
      </w:r>
      <w:r w:rsidR="00A25ED6">
        <w:t>, Dauter, L.</w:t>
      </w:r>
      <w:r>
        <w:t xml:space="preserve"> </w:t>
      </w:r>
      <w:r w:rsidR="00100D5D">
        <w:t>(</w:t>
      </w:r>
      <w:r w:rsidR="00A25ED6">
        <w:t>2015</w:t>
      </w:r>
      <w:r w:rsidR="00100D5D">
        <w:t xml:space="preserve">) </w:t>
      </w:r>
      <w:r>
        <w:t>“Positioning Charter Schools in Los Angeles: Diversity of Form and Homogeneity</w:t>
      </w:r>
      <w:r w:rsidR="00100D5D">
        <w:t xml:space="preserve"> of Effects.”</w:t>
      </w:r>
      <w:r>
        <w:t xml:space="preserve"> </w:t>
      </w:r>
      <w:r w:rsidRPr="00E317F7">
        <w:rPr>
          <w:i/>
        </w:rPr>
        <w:t>American Journal of Education</w:t>
      </w:r>
      <w:r w:rsidR="00A25ED6">
        <w:t xml:space="preserve"> 21(2): 213-239. </w:t>
      </w:r>
    </w:p>
    <w:p w14:paraId="31B6A35D" w14:textId="10EA9DB3" w:rsidR="00A52818" w:rsidRDefault="00D33D07" w:rsidP="00A52818">
      <w:pPr>
        <w:pStyle w:val="VitaPub"/>
        <w:ind w:left="990" w:hanging="630"/>
      </w:pPr>
      <w:r>
        <w:t>*</w:t>
      </w:r>
      <w:r w:rsidR="00A52818">
        <w:t xml:space="preserve">Gaddis, M. and </w:t>
      </w:r>
      <w:r w:rsidR="00A52818" w:rsidRPr="00A52818">
        <w:rPr>
          <w:b/>
        </w:rPr>
        <w:t>Lauen, D.</w:t>
      </w:r>
      <w:r w:rsidR="00A52818">
        <w:t xml:space="preserve"> (2014) “School Accountability and the Black-White Test Score Gap” </w:t>
      </w:r>
      <w:r w:rsidR="00A52818" w:rsidRPr="0088191F">
        <w:rPr>
          <w:i/>
        </w:rPr>
        <w:t xml:space="preserve">Social </w:t>
      </w:r>
      <w:r w:rsidR="00A52818">
        <w:rPr>
          <w:i/>
        </w:rPr>
        <w:t>Science Research</w:t>
      </w:r>
      <w:r w:rsidR="00A52818">
        <w:t xml:space="preserve">. 44: 15-31.  </w:t>
      </w:r>
    </w:p>
    <w:p w14:paraId="41D01BA7" w14:textId="13B09B58" w:rsidR="004270C8" w:rsidRDefault="00057627" w:rsidP="004270C8">
      <w:pPr>
        <w:pStyle w:val="VitaPub"/>
        <w:spacing w:after="0"/>
        <w:ind w:left="994" w:hanging="634"/>
        <w:rPr>
          <w:szCs w:val="24"/>
        </w:rPr>
      </w:pPr>
      <w:r w:rsidRPr="00C23187">
        <w:rPr>
          <w:b/>
          <w:szCs w:val="24"/>
        </w:rPr>
        <w:t>Lauen, D</w:t>
      </w:r>
      <w:r>
        <w:rPr>
          <w:szCs w:val="24"/>
        </w:rPr>
        <w:t xml:space="preserve">. and </w:t>
      </w:r>
      <w:r w:rsidR="00D33D07">
        <w:rPr>
          <w:szCs w:val="24"/>
        </w:rPr>
        <w:t>*</w:t>
      </w:r>
      <w:r>
        <w:rPr>
          <w:szCs w:val="24"/>
        </w:rPr>
        <w:t>Gaddis, M.</w:t>
      </w:r>
      <w:r w:rsidR="004226A5">
        <w:rPr>
          <w:szCs w:val="24"/>
        </w:rPr>
        <w:t xml:space="preserve"> (2013)</w:t>
      </w:r>
      <w:r>
        <w:rPr>
          <w:szCs w:val="24"/>
        </w:rPr>
        <w:t xml:space="preserve"> “Exposure to Classroom Poverty and Test Score Achievement: Contextual Effects or Selection?” </w:t>
      </w:r>
      <w:r w:rsidRPr="006E575F">
        <w:rPr>
          <w:i/>
          <w:szCs w:val="24"/>
        </w:rPr>
        <w:t>American Journal of Sociology</w:t>
      </w:r>
      <w:r w:rsidR="004226A5">
        <w:rPr>
          <w:i/>
          <w:szCs w:val="24"/>
        </w:rPr>
        <w:t xml:space="preserve"> </w:t>
      </w:r>
      <w:r w:rsidR="004226A5">
        <w:rPr>
          <w:szCs w:val="24"/>
        </w:rPr>
        <w:t>118(4): 943-979.</w:t>
      </w:r>
      <w:r>
        <w:rPr>
          <w:szCs w:val="24"/>
        </w:rPr>
        <w:t xml:space="preserve"> </w:t>
      </w:r>
      <w:r w:rsidR="00EA5CE3">
        <w:rPr>
          <w:szCs w:val="24"/>
        </w:rPr>
        <w:t xml:space="preserve"> </w:t>
      </w:r>
    </w:p>
    <w:p w14:paraId="603F9986" w14:textId="67C1B0B4" w:rsidR="00EA5CE3" w:rsidRDefault="00EA5CE3" w:rsidP="004270C8">
      <w:pPr>
        <w:pStyle w:val="VitaPub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American Sociological Association, Sociology of Education section, Coleman Award Honorable Mention. </w:t>
      </w:r>
    </w:p>
    <w:p w14:paraId="67116736" w14:textId="77777777" w:rsidR="00654060" w:rsidRDefault="00654060" w:rsidP="00654060">
      <w:pPr>
        <w:pStyle w:val="VitaPub"/>
        <w:ind w:left="990" w:hanging="630"/>
      </w:pPr>
      <w:r w:rsidRPr="00F91E30">
        <w:rPr>
          <w:b/>
        </w:rPr>
        <w:t xml:space="preserve">Lauen, D. </w:t>
      </w:r>
      <w:r w:rsidR="004226A5">
        <w:rPr>
          <w:b/>
        </w:rPr>
        <w:t xml:space="preserve"> </w:t>
      </w:r>
      <w:r w:rsidR="004226A5">
        <w:t xml:space="preserve">(2013) </w:t>
      </w:r>
      <w:r w:rsidRPr="004226A5">
        <w:t>“</w:t>
      </w:r>
      <w:r>
        <w:t xml:space="preserve">Jumping at the Chance: The Effects of Accountability </w:t>
      </w:r>
      <w:r w:rsidR="008B502C">
        <w:t>Consequences</w:t>
      </w:r>
      <w:r>
        <w:t xml:space="preserve"> on Student Achievement.”</w:t>
      </w:r>
      <w:r>
        <w:rPr>
          <w:i/>
        </w:rPr>
        <w:t xml:space="preserve"> Journal of Research on Educational Effectiveness</w:t>
      </w:r>
      <w:r w:rsidR="004226A5">
        <w:rPr>
          <w:i/>
        </w:rPr>
        <w:t xml:space="preserve"> </w:t>
      </w:r>
      <w:r w:rsidR="004226A5">
        <w:t>6(2): 93-113</w:t>
      </w:r>
      <w:r>
        <w:t xml:space="preserve">. </w:t>
      </w:r>
    </w:p>
    <w:p w14:paraId="21B179AE" w14:textId="79444519" w:rsidR="0088191F" w:rsidRDefault="0088191F" w:rsidP="0088191F">
      <w:pPr>
        <w:pStyle w:val="VitaPub"/>
        <w:ind w:left="990" w:hanging="630"/>
      </w:pPr>
      <w:r w:rsidRPr="000F4DA6">
        <w:rPr>
          <w:b/>
        </w:rPr>
        <w:t>Lauen, D.</w:t>
      </w:r>
      <w:r>
        <w:t xml:space="preserve"> and </w:t>
      </w:r>
      <w:r w:rsidR="00D33D07">
        <w:t>*</w:t>
      </w:r>
      <w:r>
        <w:t>Gaddis, M.</w:t>
      </w:r>
      <w:r w:rsidR="00CD5055">
        <w:t xml:space="preserve"> (2012)</w:t>
      </w:r>
      <w:r>
        <w:t xml:space="preserve"> “Shining a Light or Fumbling in the Dark? The Effects of NCLB’s Subgroup-Specific Accountability Pressure on Student Performance.”</w:t>
      </w:r>
      <w:r w:rsidR="000111C0">
        <w:t xml:space="preserve"> </w:t>
      </w:r>
      <w:r>
        <w:rPr>
          <w:i/>
        </w:rPr>
        <w:t>Educational Evaluation and Policy Analysis</w:t>
      </w:r>
      <w:r w:rsidR="000111C0">
        <w:rPr>
          <w:i/>
        </w:rPr>
        <w:t xml:space="preserve"> 34(2): 185-208.</w:t>
      </w:r>
    </w:p>
    <w:p w14:paraId="3095D3BD" w14:textId="0529513C" w:rsidR="002D476B" w:rsidRDefault="002D476B" w:rsidP="004D514D">
      <w:pPr>
        <w:pStyle w:val="VitaPub"/>
        <w:tabs>
          <w:tab w:val="clear" w:pos="720"/>
        </w:tabs>
        <w:ind w:left="990" w:hanging="630"/>
      </w:pPr>
      <w:r>
        <w:t xml:space="preserve">Ladd, H. &amp; </w:t>
      </w:r>
      <w:r w:rsidRPr="0007093A">
        <w:rPr>
          <w:b/>
        </w:rPr>
        <w:t>Lauen, D.</w:t>
      </w:r>
      <w:r w:rsidR="00D33D07">
        <w:rPr>
          <w:b/>
        </w:rPr>
        <w:t xml:space="preserve"> </w:t>
      </w:r>
      <w:r w:rsidR="00D33D07" w:rsidRPr="00D33D07">
        <w:t>(authors alphabetical)</w:t>
      </w:r>
      <w:r>
        <w:t xml:space="preserve"> </w:t>
      </w:r>
      <w:r w:rsidR="00F91E30">
        <w:t>(2010) “</w:t>
      </w:r>
      <w:r>
        <w:t xml:space="preserve">Status </w:t>
      </w:r>
      <w:r w:rsidR="004D514D">
        <w:t>V</w:t>
      </w:r>
      <w:r>
        <w:t xml:space="preserve">ersus </w:t>
      </w:r>
      <w:r w:rsidR="004D514D">
        <w:t>G</w:t>
      </w:r>
      <w:r>
        <w:t xml:space="preserve">rowth: The </w:t>
      </w:r>
      <w:r w:rsidR="004D514D">
        <w:t>D</w:t>
      </w:r>
      <w:r>
        <w:t xml:space="preserve">istributional </w:t>
      </w:r>
      <w:r w:rsidR="004D514D">
        <w:t>E</w:t>
      </w:r>
      <w:r w:rsidR="00D4114F">
        <w:t>f</w:t>
      </w:r>
      <w:r>
        <w:t xml:space="preserve">fects of </w:t>
      </w:r>
      <w:r w:rsidR="004D514D">
        <w:t>A</w:t>
      </w:r>
      <w:r>
        <w:t xml:space="preserve">ccountability </w:t>
      </w:r>
      <w:r w:rsidR="004D514D">
        <w:t>P</w:t>
      </w:r>
      <w:r w:rsidR="00F91E30">
        <w:t>olicies.</w:t>
      </w:r>
      <w:r w:rsidR="000A35EB">
        <w:t>”</w:t>
      </w:r>
      <w:r>
        <w:t xml:space="preserve"> </w:t>
      </w:r>
      <w:r w:rsidRPr="002D476B">
        <w:rPr>
          <w:i/>
        </w:rPr>
        <w:t>Journal of Policy Analysis and Management</w:t>
      </w:r>
      <w:r w:rsidR="00B97E5D">
        <w:t>.</w:t>
      </w:r>
      <w:r>
        <w:t xml:space="preserve"> </w:t>
      </w:r>
      <w:r w:rsidR="000C2E7E">
        <w:t>29(3): 426-450.</w:t>
      </w:r>
    </w:p>
    <w:p w14:paraId="7EE8D718" w14:textId="77777777" w:rsidR="003B4DBA" w:rsidRDefault="003B4DBA" w:rsidP="004D514D">
      <w:pPr>
        <w:pStyle w:val="VitaPub"/>
        <w:tabs>
          <w:tab w:val="clear" w:pos="720"/>
        </w:tabs>
        <w:ind w:left="990" w:hanging="630"/>
      </w:pPr>
      <w:r w:rsidRPr="0007093A">
        <w:rPr>
          <w:b/>
        </w:rPr>
        <w:t>Lauen, D.</w:t>
      </w:r>
      <w:r>
        <w:t xml:space="preserve"> </w:t>
      </w:r>
      <w:r w:rsidR="00C23187">
        <w:t>(</w:t>
      </w:r>
      <w:r w:rsidR="00AD16E0">
        <w:t>2009</w:t>
      </w:r>
      <w:r w:rsidR="00C23187">
        <w:t xml:space="preserve">) </w:t>
      </w:r>
      <w:r w:rsidR="00F91E30">
        <w:t>“</w:t>
      </w:r>
      <w:r w:rsidR="00C23187">
        <w:t xml:space="preserve">To </w:t>
      </w:r>
      <w:r w:rsidR="004D514D">
        <w:t>C</w:t>
      </w:r>
      <w:r w:rsidR="00C23187">
        <w:t xml:space="preserve">hoose or </w:t>
      </w:r>
      <w:r w:rsidR="004D514D">
        <w:t>N</w:t>
      </w:r>
      <w:r w:rsidR="00C23187">
        <w:t xml:space="preserve">ot to </w:t>
      </w:r>
      <w:r w:rsidR="004D514D">
        <w:t>C</w:t>
      </w:r>
      <w:r w:rsidR="00C23187">
        <w:t xml:space="preserve">hoose: High </w:t>
      </w:r>
      <w:r w:rsidR="004D514D">
        <w:t>S</w:t>
      </w:r>
      <w:r w:rsidR="00C23187">
        <w:t xml:space="preserve">chool </w:t>
      </w:r>
      <w:r w:rsidR="004D514D">
        <w:t>C</w:t>
      </w:r>
      <w:r w:rsidR="00C23187">
        <w:t xml:space="preserve">hoice and </w:t>
      </w:r>
      <w:r w:rsidR="004D514D">
        <w:t>G</w:t>
      </w:r>
      <w:r w:rsidR="00C23187">
        <w:t>raduation in Chicago</w:t>
      </w:r>
      <w:r>
        <w:t>.</w:t>
      </w:r>
      <w:r w:rsidR="00F91E30">
        <w:t>”</w:t>
      </w:r>
      <w:r w:rsidR="00C23187">
        <w:t xml:space="preserve"> </w:t>
      </w:r>
      <w:r w:rsidR="00C23187" w:rsidRPr="00C23187">
        <w:rPr>
          <w:i/>
        </w:rPr>
        <w:t>Educational Evaluation and Policy Analysis</w:t>
      </w:r>
      <w:r w:rsidR="00C23187">
        <w:t xml:space="preserve">. </w:t>
      </w:r>
      <w:r w:rsidR="002E5DE6">
        <w:t>31(3</w:t>
      </w:r>
      <w:r w:rsidR="00AD16E0">
        <w:t xml:space="preserve">): 179-199. </w:t>
      </w:r>
    </w:p>
    <w:p w14:paraId="26CA2693" w14:textId="77777777" w:rsidR="00C23187" w:rsidRPr="00E6550D" w:rsidRDefault="00C23187" w:rsidP="004D514D">
      <w:pPr>
        <w:pStyle w:val="VitaPub"/>
        <w:tabs>
          <w:tab w:val="clear" w:pos="720"/>
        </w:tabs>
        <w:ind w:left="990" w:hanging="630"/>
      </w:pPr>
      <w:r w:rsidRPr="0007093A">
        <w:rPr>
          <w:b/>
        </w:rPr>
        <w:t xml:space="preserve">Lauen, D. </w:t>
      </w:r>
      <w:r>
        <w:t xml:space="preserve">(2007) </w:t>
      </w:r>
      <w:r w:rsidR="00F91E30">
        <w:t>“</w:t>
      </w:r>
      <w:r w:rsidRPr="00DE6B5A">
        <w:t xml:space="preserve">Contextual </w:t>
      </w:r>
      <w:r w:rsidR="004D514D">
        <w:t>E</w:t>
      </w:r>
      <w:r w:rsidRPr="00DE6B5A">
        <w:t xml:space="preserve">xplanations of </w:t>
      </w:r>
      <w:r w:rsidR="004D514D">
        <w:t>S</w:t>
      </w:r>
      <w:r w:rsidRPr="00DE6B5A">
        <w:t xml:space="preserve">chool </w:t>
      </w:r>
      <w:r w:rsidR="004D514D">
        <w:t>C</w:t>
      </w:r>
      <w:r w:rsidRPr="00DE6B5A">
        <w:t>hoice</w:t>
      </w:r>
      <w:r>
        <w:t>.</w:t>
      </w:r>
      <w:r w:rsidR="00F91E30">
        <w:t>”</w:t>
      </w:r>
      <w:r w:rsidRPr="00E6550D">
        <w:t xml:space="preserve"> </w:t>
      </w:r>
      <w:r w:rsidRPr="00FE5828">
        <w:rPr>
          <w:i/>
        </w:rPr>
        <w:t>Sociology of Education</w:t>
      </w:r>
      <w:r>
        <w:t>. 80(3): 179-209.</w:t>
      </w:r>
    </w:p>
    <w:p w14:paraId="4B8B40BB" w14:textId="70A470D2" w:rsidR="007C79D4" w:rsidRPr="001D1143" w:rsidRDefault="004270C8" w:rsidP="00180E3E">
      <w:pPr>
        <w:pStyle w:val="aasectionsub"/>
        <w:keepNext/>
        <w:keepLines/>
      </w:pPr>
      <w:r w:rsidRPr="001D1143">
        <w:t xml:space="preserve">Manuscripts </w:t>
      </w:r>
      <w:r w:rsidR="00BC38DD">
        <w:t>i</w:t>
      </w:r>
      <w:r w:rsidRPr="001D1143">
        <w:t>n Preparation</w:t>
      </w:r>
      <w:r w:rsidR="00816232">
        <w:t xml:space="preserve"> or Under Review</w:t>
      </w:r>
    </w:p>
    <w:p w14:paraId="750F41DE" w14:textId="556D504E" w:rsidR="00745C3D" w:rsidRDefault="00745C3D" w:rsidP="00180E3E">
      <w:pPr>
        <w:pStyle w:val="VitaPub"/>
        <w:keepNext/>
        <w:keepLines/>
        <w:ind w:left="990" w:hanging="630"/>
      </w:pPr>
      <w:r w:rsidRPr="001D1143">
        <w:rPr>
          <w:szCs w:val="24"/>
        </w:rPr>
        <w:t xml:space="preserve">Carbonaro, W., </w:t>
      </w:r>
      <w:r w:rsidRPr="00FF51A4">
        <w:rPr>
          <w:b/>
          <w:bCs/>
          <w:szCs w:val="24"/>
        </w:rPr>
        <w:t>Lauen, D.</w:t>
      </w:r>
      <w:r w:rsidRPr="001D1143">
        <w:rPr>
          <w:szCs w:val="24"/>
        </w:rPr>
        <w:t xml:space="preserve">, and *Levy, B. </w:t>
      </w:r>
      <w:r w:rsidRPr="001D1143">
        <w:t xml:space="preserve">“Do High Poverty Schools Widen Test Score Inequality? Evidence using Administrative Data from Two States” </w:t>
      </w:r>
    </w:p>
    <w:p w14:paraId="63D8996F" w14:textId="32B747DA" w:rsidR="006C25FF" w:rsidRDefault="00816232" w:rsidP="006C25FF">
      <w:pPr>
        <w:pStyle w:val="VitaPub"/>
        <w:keepNext/>
        <w:keepLines/>
        <w:ind w:left="990" w:hanging="630"/>
      </w:pPr>
      <w:r>
        <w:t xml:space="preserve">Unlu, F., Cook, T.S., Lauen, D.L., Fuller, S.C., </w:t>
      </w:r>
      <w:r w:rsidR="006C25FF">
        <w:t>“Combining Local Comparison Groups, Pretests and Rich Covariates: How well do they collectively reduce Bias in Non-Equivalent Comparison Group Designs?”</w:t>
      </w:r>
    </w:p>
    <w:p w14:paraId="3CBFC655" w14:textId="2BB1BC79" w:rsidR="004C5279" w:rsidRPr="00476C56" w:rsidRDefault="001C627F" w:rsidP="009445D3">
      <w:pPr>
        <w:pStyle w:val="aasectionsub"/>
      </w:pPr>
      <w:r>
        <w:t>Non-Refereed Publications</w:t>
      </w:r>
      <w:r w:rsidR="004377D7">
        <w:t xml:space="preserve"> </w:t>
      </w:r>
      <w:r w:rsidR="004833BE" w:rsidRPr="002C4FBF">
        <w:t xml:space="preserve">/ </w:t>
      </w:r>
      <w:r w:rsidR="004377D7" w:rsidRPr="002C4FBF">
        <w:t>Products of engaged scholarship</w:t>
      </w:r>
      <w:r w:rsidR="004833BE" w:rsidRPr="002C4FBF">
        <w:t xml:space="preserve"> </w:t>
      </w:r>
    </w:p>
    <w:p w14:paraId="38C1E150" w14:textId="7667D9DA" w:rsidR="009905CF" w:rsidRDefault="009905CF" w:rsidP="00C03ABA">
      <w:pPr>
        <w:pStyle w:val="VitaPub"/>
        <w:ind w:left="990" w:hanging="630"/>
        <w:rPr>
          <w:bCs/>
        </w:rPr>
      </w:pPr>
      <w:r w:rsidRPr="009905CF">
        <w:rPr>
          <w:bCs/>
        </w:rPr>
        <w:t xml:space="preserve">Swiderski, T., </w:t>
      </w:r>
      <w:r>
        <w:rPr>
          <w:b/>
        </w:rPr>
        <w:t xml:space="preserve">Lauen, D. </w:t>
      </w:r>
      <w:r w:rsidR="009922BE">
        <w:rPr>
          <w:bCs/>
        </w:rPr>
        <w:t>“</w:t>
      </w:r>
      <w:r>
        <w:rPr>
          <w:bCs/>
        </w:rPr>
        <w:t>Comparing Survey Information on Student Postsecondary Intentions and Administrative Data on Observed Enrollment.</w:t>
      </w:r>
      <w:r w:rsidR="009922BE">
        <w:rPr>
          <w:bCs/>
        </w:rPr>
        <w:t>”</w:t>
      </w:r>
      <w:r>
        <w:rPr>
          <w:bCs/>
        </w:rPr>
        <w:t xml:space="preserve"> Policy Brief to </w:t>
      </w:r>
      <w:r w:rsidR="009922BE">
        <w:rPr>
          <w:bCs/>
        </w:rPr>
        <w:t xml:space="preserve">NCDPI and UNC System Office, November 15, 2019. </w:t>
      </w:r>
    </w:p>
    <w:p w14:paraId="4866E252" w14:textId="766A9982" w:rsidR="009922BE" w:rsidRDefault="009922BE" w:rsidP="009922BE">
      <w:pPr>
        <w:pStyle w:val="VitaPub"/>
        <w:ind w:left="990" w:hanging="630"/>
        <w:rPr>
          <w:bCs/>
        </w:rPr>
      </w:pPr>
      <w:r w:rsidRPr="009905CF">
        <w:rPr>
          <w:bCs/>
        </w:rPr>
        <w:t xml:space="preserve">Swiderski, T., </w:t>
      </w:r>
      <w:r>
        <w:rPr>
          <w:b/>
        </w:rPr>
        <w:t xml:space="preserve">Lauen, D. </w:t>
      </w:r>
      <w:r>
        <w:rPr>
          <w:bCs/>
        </w:rPr>
        <w:t xml:space="preserve">“Postsecondary Degree Completion Among Students Who Attended Traditional, Charter, and Early College High Schools in North Carolina.” Policy Brief to NCDPI and UNC System Office, November 15, 2019. </w:t>
      </w:r>
    </w:p>
    <w:p w14:paraId="2D24832D" w14:textId="6E6F23EB" w:rsidR="00476C56" w:rsidRPr="00476C56" w:rsidRDefault="00476C56" w:rsidP="00C03ABA">
      <w:pPr>
        <w:pStyle w:val="VitaPub"/>
        <w:ind w:left="990" w:hanging="630"/>
      </w:pPr>
      <w:r w:rsidRPr="00476C56">
        <w:rPr>
          <w:b/>
        </w:rPr>
        <w:lastRenderedPageBreak/>
        <w:t>Lauen, D.</w:t>
      </w:r>
      <w:r w:rsidRPr="00476C56">
        <w:t xml:space="preserve">, and Tomberlin, T. “North Carolina K-12 Achievement.” Research Brief for the </w:t>
      </w:r>
      <w:proofErr w:type="spellStart"/>
      <w:r w:rsidRPr="00476C56">
        <w:t>MyFutureNC</w:t>
      </w:r>
      <w:proofErr w:type="spellEnd"/>
      <w:r w:rsidRPr="00476C56">
        <w:t xml:space="preserve"> Commission, 2018. </w:t>
      </w:r>
    </w:p>
    <w:p w14:paraId="378290A4" w14:textId="5598411C" w:rsidR="00476C56" w:rsidRPr="00476C56" w:rsidRDefault="00476C56" w:rsidP="00C03ABA">
      <w:pPr>
        <w:pStyle w:val="VitaPub"/>
        <w:ind w:left="990" w:hanging="630"/>
      </w:pPr>
      <w:r>
        <w:rPr>
          <w:b/>
        </w:rPr>
        <w:t xml:space="preserve">Lauen, D., </w:t>
      </w:r>
      <w:r>
        <w:t xml:space="preserve">“Beating the Odds Statistical Model Technical Report.” Technical report prepared for the Georgia Governor’s Office of Student Achievement, 2018. </w:t>
      </w:r>
    </w:p>
    <w:p w14:paraId="7CE74C89" w14:textId="34F509B7" w:rsidR="00C03ABA" w:rsidRDefault="00C03ABA" w:rsidP="00C03ABA">
      <w:pPr>
        <w:pStyle w:val="VitaPub"/>
        <w:ind w:left="990" w:hanging="630"/>
        <w:rPr>
          <w:b/>
        </w:rPr>
      </w:pPr>
      <w:r>
        <w:rPr>
          <w:b/>
        </w:rPr>
        <w:t xml:space="preserve">Lauen, D., </w:t>
      </w:r>
      <w:r w:rsidRPr="00C03ABA">
        <w:t>and Henry, G</w:t>
      </w:r>
      <w:r w:rsidRPr="00672B06">
        <w:t>. “The Distribution of Teachers in North Carolina, 2009-2013.” Research Brief to NC DPI, June 2015).</w:t>
      </w:r>
      <w:r>
        <w:rPr>
          <w:b/>
        </w:rPr>
        <w:t xml:space="preserve"> </w:t>
      </w:r>
    </w:p>
    <w:p w14:paraId="14503405" w14:textId="4190F1EF" w:rsidR="006D1449" w:rsidRDefault="006D1449" w:rsidP="006D1449">
      <w:pPr>
        <w:pStyle w:val="VitaPub"/>
        <w:ind w:left="990" w:hanging="630"/>
        <w:rPr>
          <w:b/>
        </w:rPr>
      </w:pPr>
      <w:r>
        <w:rPr>
          <w:b/>
        </w:rPr>
        <w:t>Lauen, D.</w:t>
      </w:r>
      <w:r w:rsidRPr="006D1449">
        <w:t xml:space="preserve">, </w:t>
      </w:r>
      <w:r w:rsidR="00D33D07">
        <w:t>*</w:t>
      </w:r>
      <w:r w:rsidRPr="006D1449">
        <w:t>Kozlowski, K.</w:t>
      </w:r>
      <w:r>
        <w:rPr>
          <w:b/>
        </w:rPr>
        <w:t xml:space="preserve"> </w:t>
      </w:r>
      <w:r w:rsidRPr="006D1449">
        <w:t>“Teacher Performance Incentives in North Carolina</w:t>
      </w:r>
      <w:r>
        <w:t>: A Summative Report</w:t>
      </w:r>
      <w:r w:rsidRPr="006D1449">
        <w:t>,” (policy research report to NC DPI</w:t>
      </w:r>
      <w:r>
        <w:t>, August 2014</w:t>
      </w:r>
      <w:r w:rsidRPr="006D1449">
        <w:t>).</w:t>
      </w:r>
      <w:r>
        <w:rPr>
          <w:b/>
        </w:rPr>
        <w:t xml:space="preserve">  </w:t>
      </w:r>
    </w:p>
    <w:p w14:paraId="14669F9D" w14:textId="709E35A3" w:rsidR="00CC4402" w:rsidRDefault="00CC4402" w:rsidP="0088191F">
      <w:pPr>
        <w:pStyle w:val="VitaPub"/>
        <w:ind w:left="990" w:hanging="630"/>
        <w:rPr>
          <w:b/>
        </w:rPr>
      </w:pPr>
      <w:r>
        <w:rPr>
          <w:b/>
        </w:rPr>
        <w:t>Lauen, D.</w:t>
      </w:r>
      <w:r w:rsidRPr="006D1449">
        <w:t xml:space="preserve">, </w:t>
      </w:r>
      <w:r w:rsidR="00D33D07">
        <w:t>*</w:t>
      </w:r>
      <w:r w:rsidRPr="006D1449">
        <w:t>Kozlowski, K.</w:t>
      </w:r>
      <w:r>
        <w:rPr>
          <w:b/>
        </w:rPr>
        <w:t xml:space="preserve"> </w:t>
      </w:r>
      <w:r w:rsidRPr="006D1449">
        <w:t>“Teacher Performance Incentives in North Carolina,” (policy research report to NC DPI</w:t>
      </w:r>
      <w:r w:rsidR="006D1449" w:rsidRPr="006D1449">
        <w:t>, August 2013</w:t>
      </w:r>
      <w:r w:rsidRPr="006D1449">
        <w:t>).</w:t>
      </w:r>
      <w:r>
        <w:rPr>
          <w:b/>
        </w:rPr>
        <w:t xml:space="preserve">  </w:t>
      </w:r>
    </w:p>
    <w:p w14:paraId="2FC63876" w14:textId="498F9861" w:rsidR="0088191F" w:rsidRDefault="0088191F" w:rsidP="0088191F">
      <w:pPr>
        <w:pStyle w:val="VitaPub"/>
        <w:ind w:left="990" w:hanging="630"/>
      </w:pPr>
      <w:r>
        <w:rPr>
          <w:b/>
        </w:rPr>
        <w:t>Lauen, D.</w:t>
      </w:r>
      <w:r>
        <w:t xml:space="preserve">, </w:t>
      </w:r>
      <w:r w:rsidR="006D1449">
        <w:t xml:space="preserve">Henry, G., </w:t>
      </w:r>
      <w:r w:rsidR="00D33D07">
        <w:t>*</w:t>
      </w:r>
      <w:r w:rsidR="006D1449">
        <w:t xml:space="preserve">Rose, R, </w:t>
      </w:r>
      <w:r w:rsidR="00D33D07">
        <w:t>*</w:t>
      </w:r>
      <w:r w:rsidR="006D1449">
        <w:t>Kozlowski, K</w:t>
      </w:r>
      <w:r>
        <w:t>. “The Distri</w:t>
      </w:r>
      <w:r w:rsidR="006D1449">
        <w:t>bution of Teacher Value Added</w:t>
      </w:r>
      <w:r>
        <w:t xml:space="preserve"> in North Carolina,” (policy research report to NC DPI</w:t>
      </w:r>
      <w:r w:rsidR="006D1449">
        <w:t xml:space="preserve">, </w:t>
      </w:r>
      <w:proofErr w:type="gramStart"/>
      <w:r w:rsidR="006D1449">
        <w:t>December,</w:t>
      </w:r>
      <w:proofErr w:type="gramEnd"/>
      <w:r w:rsidR="006D1449">
        <w:t xml:space="preserve"> 2013</w:t>
      </w:r>
      <w:r>
        <w:t xml:space="preserve">). </w:t>
      </w:r>
    </w:p>
    <w:p w14:paraId="6270DA30" w14:textId="24D58C52" w:rsidR="00907C00" w:rsidRDefault="00D33D07" w:rsidP="00F91E30">
      <w:pPr>
        <w:pStyle w:val="VitaPub"/>
        <w:tabs>
          <w:tab w:val="clear" w:pos="720"/>
        </w:tabs>
        <w:ind w:left="990" w:hanging="630"/>
      </w:pPr>
      <w:r>
        <w:t>*</w:t>
      </w:r>
      <w:r w:rsidR="00907C00">
        <w:t xml:space="preserve">Rose, R., Henry, G., </w:t>
      </w:r>
      <w:r w:rsidR="00907C00" w:rsidRPr="00907C00">
        <w:rPr>
          <w:b/>
        </w:rPr>
        <w:t>Lauen, D.</w:t>
      </w:r>
      <w:r w:rsidR="00907C00">
        <w:t xml:space="preserve"> “Comparing Value Added Models for Estimating Teacher Effectiveness,” (technical report to NC DPI, February 2012). </w:t>
      </w:r>
    </w:p>
    <w:p w14:paraId="1E6F3CAE" w14:textId="77777777" w:rsidR="00F91E30" w:rsidRPr="007A18C1" w:rsidRDefault="00F91E30" w:rsidP="00F91E30">
      <w:pPr>
        <w:pStyle w:val="VitaPub"/>
        <w:tabs>
          <w:tab w:val="clear" w:pos="720"/>
        </w:tabs>
        <w:ind w:left="990" w:hanging="630"/>
      </w:pPr>
      <w:r w:rsidRPr="007A18C1">
        <w:t>Ladd, H</w:t>
      </w:r>
      <w:r>
        <w:rPr>
          <w:b/>
        </w:rPr>
        <w:t xml:space="preserve"> &amp; Lauen, D.* </w:t>
      </w:r>
      <w:r w:rsidRPr="00F91E30">
        <w:t>(2010)</w:t>
      </w:r>
      <w:r>
        <w:rPr>
          <w:b/>
        </w:rPr>
        <w:t xml:space="preserve"> </w:t>
      </w:r>
      <w:r>
        <w:t xml:space="preserve">“Status vs. Growth: Strategies for School Improvement.” </w:t>
      </w:r>
      <w:r w:rsidRPr="007A18C1">
        <w:rPr>
          <w:i/>
        </w:rPr>
        <w:t>Carolina Context</w:t>
      </w:r>
      <w:r>
        <w:t>. April. No. 10. (</w:t>
      </w:r>
      <w:proofErr w:type="gramStart"/>
      <w:r>
        <w:t>policy</w:t>
      </w:r>
      <w:proofErr w:type="gramEnd"/>
      <w:r>
        <w:t xml:space="preserve"> brief)</w:t>
      </w:r>
    </w:p>
    <w:p w14:paraId="2C779F80" w14:textId="77777777" w:rsidR="00F91E30" w:rsidRPr="00285270" w:rsidRDefault="00F91E30" w:rsidP="00F91E30">
      <w:pPr>
        <w:pStyle w:val="vitaentry"/>
        <w:tabs>
          <w:tab w:val="clear" w:pos="1260"/>
        </w:tabs>
        <w:ind w:left="990" w:hanging="630"/>
        <w:rPr>
          <w:rFonts w:ascii="Times New Roman" w:hAnsi="Times New Roman"/>
          <w:i/>
        </w:rPr>
      </w:pPr>
      <w:r w:rsidRPr="00285270">
        <w:rPr>
          <w:rFonts w:ascii="Times New Roman" w:hAnsi="Times New Roman"/>
        </w:rPr>
        <w:t xml:space="preserve">Hart, H., Allensworth, E., </w:t>
      </w:r>
      <w:r w:rsidRPr="006B7D67">
        <w:rPr>
          <w:rFonts w:ascii="Times New Roman" w:hAnsi="Times New Roman"/>
          <w:b/>
        </w:rPr>
        <w:t>Lauen, D</w:t>
      </w:r>
      <w:r w:rsidRPr="00285270">
        <w:rPr>
          <w:rFonts w:ascii="Times New Roman" w:hAnsi="Times New Roman"/>
        </w:rPr>
        <w:t xml:space="preserve">. &amp; Gladden, M. (2002). </w:t>
      </w:r>
      <w:r w:rsidRPr="00285270">
        <w:rPr>
          <w:rFonts w:ascii="Times New Roman" w:hAnsi="Times New Roman"/>
          <w:i/>
        </w:rPr>
        <w:t xml:space="preserve">Educational </w:t>
      </w:r>
      <w:r>
        <w:rPr>
          <w:rFonts w:ascii="Times New Roman" w:hAnsi="Times New Roman"/>
          <w:i/>
        </w:rPr>
        <w:t>T</w:t>
      </w:r>
      <w:r w:rsidRPr="00285270">
        <w:rPr>
          <w:rFonts w:ascii="Times New Roman" w:hAnsi="Times New Roman"/>
          <w:i/>
        </w:rPr>
        <w:t xml:space="preserve">echnology in </w:t>
      </w:r>
      <w:r>
        <w:rPr>
          <w:rFonts w:ascii="Times New Roman" w:hAnsi="Times New Roman"/>
          <w:i/>
        </w:rPr>
        <w:t>C</w:t>
      </w:r>
      <w:r w:rsidRPr="00285270">
        <w:rPr>
          <w:rFonts w:ascii="Times New Roman" w:hAnsi="Times New Roman"/>
          <w:i/>
        </w:rPr>
        <w:t xml:space="preserve">hicago </w:t>
      </w:r>
      <w:r>
        <w:rPr>
          <w:rFonts w:ascii="Times New Roman" w:hAnsi="Times New Roman"/>
          <w:i/>
        </w:rPr>
        <w:t>P</w:t>
      </w:r>
      <w:r w:rsidRPr="00285270">
        <w:rPr>
          <w:rFonts w:ascii="Times New Roman" w:hAnsi="Times New Roman"/>
          <w:i/>
        </w:rPr>
        <w:t xml:space="preserve">ublic </w:t>
      </w:r>
      <w:r>
        <w:rPr>
          <w:rFonts w:ascii="Times New Roman" w:hAnsi="Times New Roman"/>
          <w:i/>
        </w:rPr>
        <w:t>S</w:t>
      </w:r>
      <w:r w:rsidRPr="00285270">
        <w:rPr>
          <w:rFonts w:ascii="Times New Roman" w:hAnsi="Times New Roman"/>
          <w:i/>
        </w:rPr>
        <w:t xml:space="preserve">chools: </w:t>
      </w:r>
      <w:r>
        <w:rPr>
          <w:rFonts w:ascii="Times New Roman" w:hAnsi="Times New Roman"/>
          <w:i/>
        </w:rPr>
        <w:t>A B</w:t>
      </w:r>
      <w:r w:rsidRPr="00285270">
        <w:rPr>
          <w:rFonts w:ascii="Times New Roman" w:hAnsi="Times New Roman"/>
          <w:i/>
        </w:rPr>
        <w:t xml:space="preserve">aseline </w:t>
      </w:r>
      <w:r>
        <w:rPr>
          <w:rFonts w:ascii="Times New Roman" w:hAnsi="Times New Roman"/>
          <w:i/>
        </w:rPr>
        <w:t>R</w:t>
      </w:r>
      <w:r w:rsidRPr="00285270">
        <w:rPr>
          <w:rFonts w:ascii="Times New Roman" w:hAnsi="Times New Roman"/>
          <w:i/>
        </w:rPr>
        <w:t xml:space="preserve">eport. </w:t>
      </w:r>
      <w:r w:rsidRPr="00285270">
        <w:rPr>
          <w:rFonts w:ascii="Times New Roman" w:hAnsi="Times New Roman"/>
        </w:rPr>
        <w:t>Chicago</w:t>
      </w:r>
      <w:r>
        <w:rPr>
          <w:rFonts w:ascii="Times New Roman" w:hAnsi="Times New Roman"/>
        </w:rPr>
        <w:t>, IL</w:t>
      </w:r>
      <w:r w:rsidRPr="00285270">
        <w:rPr>
          <w:rFonts w:ascii="Times New Roman" w:hAnsi="Times New Roman"/>
        </w:rPr>
        <w:t>:</w:t>
      </w:r>
      <w:r w:rsidRPr="00285270">
        <w:rPr>
          <w:rFonts w:ascii="Times New Roman" w:hAnsi="Times New Roman"/>
          <w:iCs/>
        </w:rPr>
        <w:t xml:space="preserve"> Consortium on Chicago Schools Research. </w:t>
      </w:r>
    </w:p>
    <w:p w14:paraId="042EC580" w14:textId="77777777" w:rsidR="00F91E30" w:rsidRPr="00285270" w:rsidRDefault="00F91E30" w:rsidP="00F91E30">
      <w:pPr>
        <w:autoSpaceDE w:val="0"/>
        <w:autoSpaceDN w:val="0"/>
        <w:adjustRightInd w:val="0"/>
        <w:spacing w:after="240"/>
        <w:ind w:left="990" w:hanging="630"/>
        <w:rPr>
          <w:sz w:val="24"/>
          <w:szCs w:val="24"/>
        </w:rPr>
      </w:pPr>
      <w:r w:rsidRPr="00285270">
        <w:rPr>
          <w:sz w:val="24"/>
          <w:szCs w:val="24"/>
        </w:rPr>
        <w:t xml:space="preserve">Levesque, K., </w:t>
      </w:r>
      <w:r w:rsidRPr="006B7D67">
        <w:rPr>
          <w:b/>
          <w:sz w:val="24"/>
          <w:szCs w:val="24"/>
        </w:rPr>
        <w:t>Lauen, D</w:t>
      </w:r>
      <w:r w:rsidRPr="00285270">
        <w:rPr>
          <w:sz w:val="24"/>
          <w:szCs w:val="24"/>
        </w:rPr>
        <w:t xml:space="preserve">., </w:t>
      </w:r>
      <w:proofErr w:type="spellStart"/>
      <w:r w:rsidRPr="00285270">
        <w:rPr>
          <w:sz w:val="24"/>
          <w:szCs w:val="24"/>
        </w:rPr>
        <w:t>Teitlebaum</w:t>
      </w:r>
      <w:proofErr w:type="spellEnd"/>
      <w:r w:rsidRPr="00285270">
        <w:rPr>
          <w:sz w:val="24"/>
          <w:szCs w:val="24"/>
        </w:rPr>
        <w:t xml:space="preserve">, P., Alt, M., &amp; </w:t>
      </w:r>
      <w:proofErr w:type="spellStart"/>
      <w:r w:rsidRPr="00285270">
        <w:rPr>
          <w:sz w:val="24"/>
          <w:szCs w:val="24"/>
        </w:rPr>
        <w:t>Librera</w:t>
      </w:r>
      <w:proofErr w:type="spellEnd"/>
      <w:r w:rsidRPr="00285270">
        <w:rPr>
          <w:sz w:val="24"/>
          <w:szCs w:val="24"/>
        </w:rPr>
        <w:t xml:space="preserve">, S. (2000). </w:t>
      </w:r>
      <w:r w:rsidRPr="00285270">
        <w:rPr>
          <w:i/>
          <w:iCs/>
          <w:sz w:val="24"/>
          <w:szCs w:val="24"/>
        </w:rPr>
        <w:t xml:space="preserve">Vocational </w:t>
      </w:r>
      <w:r>
        <w:rPr>
          <w:i/>
          <w:iCs/>
          <w:sz w:val="24"/>
          <w:szCs w:val="24"/>
        </w:rPr>
        <w:t>E</w:t>
      </w:r>
      <w:r w:rsidRPr="00285270">
        <w:rPr>
          <w:i/>
          <w:iCs/>
          <w:sz w:val="24"/>
          <w:szCs w:val="24"/>
        </w:rPr>
        <w:t xml:space="preserve">ducation in the </w:t>
      </w:r>
      <w:r>
        <w:rPr>
          <w:i/>
          <w:iCs/>
          <w:sz w:val="24"/>
          <w:szCs w:val="24"/>
        </w:rPr>
        <w:t>U</w:t>
      </w:r>
      <w:r w:rsidRPr="00285270">
        <w:rPr>
          <w:i/>
          <w:iCs/>
          <w:sz w:val="24"/>
          <w:szCs w:val="24"/>
        </w:rPr>
        <w:t xml:space="preserve">nited </w:t>
      </w:r>
      <w:r>
        <w:rPr>
          <w:i/>
          <w:iCs/>
          <w:sz w:val="24"/>
          <w:szCs w:val="24"/>
        </w:rPr>
        <w:t>S</w:t>
      </w:r>
      <w:r w:rsidRPr="00285270">
        <w:rPr>
          <w:i/>
          <w:iCs/>
          <w:sz w:val="24"/>
          <w:szCs w:val="24"/>
        </w:rPr>
        <w:t>tates</w:t>
      </w:r>
      <w:r>
        <w:rPr>
          <w:i/>
          <w:iCs/>
          <w:sz w:val="24"/>
          <w:szCs w:val="24"/>
        </w:rPr>
        <w:t>: T</w:t>
      </w:r>
      <w:r w:rsidRPr="00285270">
        <w:rPr>
          <w:i/>
          <w:iCs/>
          <w:sz w:val="24"/>
          <w:szCs w:val="24"/>
        </w:rPr>
        <w:t xml:space="preserve">oward the </w:t>
      </w:r>
      <w:r>
        <w:rPr>
          <w:i/>
          <w:iCs/>
          <w:sz w:val="24"/>
          <w:szCs w:val="24"/>
        </w:rPr>
        <w:t>Y</w:t>
      </w:r>
      <w:r w:rsidRPr="00285270">
        <w:rPr>
          <w:i/>
          <w:iCs/>
          <w:sz w:val="24"/>
          <w:szCs w:val="24"/>
        </w:rPr>
        <w:t>ear 2000</w:t>
      </w:r>
      <w:r w:rsidRPr="002852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85270">
        <w:rPr>
          <w:sz w:val="24"/>
          <w:szCs w:val="24"/>
        </w:rPr>
        <w:t>Washington, DC: U.S. Dept. of Education, National Center on Educational Statistics.</w:t>
      </w:r>
    </w:p>
    <w:p w14:paraId="115B645E" w14:textId="77777777" w:rsidR="00F91E30" w:rsidRDefault="00F91E30" w:rsidP="00F91E30">
      <w:pPr>
        <w:pStyle w:val="vitaentry"/>
        <w:tabs>
          <w:tab w:val="clear" w:pos="1260"/>
        </w:tabs>
        <w:ind w:left="990" w:hanging="630"/>
        <w:rPr>
          <w:rFonts w:ascii="Times New Roman" w:hAnsi="Times New Roman"/>
        </w:rPr>
      </w:pPr>
      <w:r w:rsidRPr="00285270">
        <w:rPr>
          <w:rFonts w:ascii="Times New Roman" w:hAnsi="Times New Roman"/>
          <w:iCs/>
        </w:rPr>
        <w:t xml:space="preserve">Stern, D., Byrnes, M., Levesque, K. &amp; </w:t>
      </w:r>
      <w:r w:rsidRPr="006B7D67">
        <w:rPr>
          <w:rFonts w:ascii="Times New Roman" w:hAnsi="Times New Roman"/>
          <w:b/>
          <w:iCs/>
        </w:rPr>
        <w:t>Lauen, D</w:t>
      </w:r>
      <w:r w:rsidRPr="00285270">
        <w:rPr>
          <w:rFonts w:ascii="Times New Roman" w:hAnsi="Times New Roman"/>
          <w:iCs/>
        </w:rPr>
        <w:t xml:space="preserve">. (2000). </w:t>
      </w:r>
      <w:r w:rsidRPr="00285270">
        <w:rPr>
          <w:rFonts w:ascii="Times New Roman" w:hAnsi="Times New Roman"/>
          <w:i/>
          <w:iCs/>
        </w:rPr>
        <w:t xml:space="preserve">Enabling </w:t>
      </w:r>
      <w:r>
        <w:rPr>
          <w:rFonts w:ascii="Times New Roman" w:hAnsi="Times New Roman"/>
          <w:i/>
          <w:iCs/>
        </w:rPr>
        <w:t>H</w:t>
      </w:r>
      <w:r w:rsidRPr="00285270">
        <w:rPr>
          <w:rFonts w:ascii="Times New Roman" w:hAnsi="Times New Roman"/>
          <w:i/>
          <w:iCs/>
        </w:rPr>
        <w:t xml:space="preserve">igh </w:t>
      </w:r>
      <w:r>
        <w:rPr>
          <w:rFonts w:ascii="Times New Roman" w:hAnsi="Times New Roman"/>
          <w:i/>
          <w:iCs/>
        </w:rPr>
        <w:t>S</w:t>
      </w:r>
      <w:r w:rsidRPr="00285270">
        <w:rPr>
          <w:rFonts w:ascii="Times New Roman" w:hAnsi="Times New Roman"/>
          <w:i/>
          <w:iCs/>
        </w:rPr>
        <w:t xml:space="preserve">chools to </w:t>
      </w:r>
      <w:r>
        <w:rPr>
          <w:rFonts w:ascii="Times New Roman" w:hAnsi="Times New Roman"/>
          <w:i/>
          <w:iCs/>
        </w:rPr>
        <w:t>A</w:t>
      </w:r>
      <w:r w:rsidRPr="00285270">
        <w:rPr>
          <w:rFonts w:ascii="Times New Roman" w:hAnsi="Times New Roman"/>
          <w:i/>
          <w:iCs/>
        </w:rPr>
        <w:t xml:space="preserve">ssess </w:t>
      </w:r>
      <w:r>
        <w:rPr>
          <w:rFonts w:ascii="Times New Roman" w:hAnsi="Times New Roman"/>
          <w:i/>
          <w:iCs/>
        </w:rPr>
        <w:t>S</w:t>
      </w:r>
      <w:r w:rsidRPr="00285270">
        <w:rPr>
          <w:rFonts w:ascii="Times New Roman" w:hAnsi="Times New Roman"/>
          <w:i/>
          <w:iCs/>
        </w:rPr>
        <w:t>chool</w:t>
      </w:r>
      <w:r>
        <w:rPr>
          <w:rFonts w:ascii="Times New Roman" w:hAnsi="Times New Roman"/>
          <w:i/>
          <w:iCs/>
        </w:rPr>
        <w:t xml:space="preserve"> W</w:t>
      </w:r>
      <w:r w:rsidRPr="00285270">
        <w:rPr>
          <w:rFonts w:ascii="Times New Roman" w:hAnsi="Times New Roman"/>
          <w:i/>
          <w:iCs/>
        </w:rPr>
        <w:t xml:space="preserve">ide </w:t>
      </w:r>
      <w:r>
        <w:rPr>
          <w:rFonts w:ascii="Times New Roman" w:hAnsi="Times New Roman"/>
          <w:i/>
          <w:iCs/>
        </w:rPr>
        <w:t>R</w:t>
      </w:r>
      <w:r w:rsidRPr="00285270">
        <w:rPr>
          <w:rFonts w:ascii="Times New Roman" w:hAnsi="Times New Roman"/>
          <w:i/>
          <w:iCs/>
        </w:rPr>
        <w:t xml:space="preserve">esults of </w:t>
      </w:r>
      <w:r>
        <w:rPr>
          <w:rFonts w:ascii="Times New Roman" w:hAnsi="Times New Roman"/>
          <w:i/>
          <w:iCs/>
        </w:rPr>
        <w:t>R</w:t>
      </w:r>
      <w:r w:rsidRPr="00285270">
        <w:rPr>
          <w:rFonts w:ascii="Times New Roman" w:hAnsi="Times New Roman"/>
          <w:i/>
          <w:iCs/>
        </w:rPr>
        <w:t xml:space="preserve">eform: </w:t>
      </w:r>
      <w:r>
        <w:rPr>
          <w:rFonts w:ascii="Times New Roman" w:hAnsi="Times New Roman"/>
          <w:i/>
          <w:iCs/>
        </w:rPr>
        <w:t>A</w:t>
      </w:r>
      <w:r w:rsidRPr="00285270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P</w:t>
      </w:r>
      <w:r w:rsidRPr="00285270">
        <w:rPr>
          <w:rFonts w:ascii="Times New Roman" w:hAnsi="Times New Roman"/>
          <w:i/>
          <w:iCs/>
        </w:rPr>
        <w:t xml:space="preserve">ilot </w:t>
      </w:r>
      <w:r>
        <w:rPr>
          <w:rFonts w:ascii="Times New Roman" w:hAnsi="Times New Roman"/>
          <w:i/>
          <w:iCs/>
        </w:rPr>
        <w:t>T</w:t>
      </w:r>
      <w:r w:rsidRPr="00285270">
        <w:rPr>
          <w:rFonts w:ascii="Times New Roman" w:hAnsi="Times New Roman"/>
          <w:i/>
          <w:iCs/>
        </w:rPr>
        <w:t xml:space="preserve">est. </w:t>
      </w:r>
      <w:r w:rsidRPr="00285270">
        <w:rPr>
          <w:rFonts w:ascii="Times New Roman" w:hAnsi="Times New Roman"/>
          <w:iCs/>
        </w:rPr>
        <w:t>Berkeley</w:t>
      </w:r>
      <w:r>
        <w:rPr>
          <w:rFonts w:ascii="Times New Roman" w:hAnsi="Times New Roman"/>
          <w:iCs/>
        </w:rPr>
        <w:t>, CA</w:t>
      </w:r>
      <w:r w:rsidRPr="00285270">
        <w:rPr>
          <w:rFonts w:ascii="Times New Roman" w:hAnsi="Times New Roman"/>
          <w:iCs/>
        </w:rPr>
        <w:t>:</w:t>
      </w:r>
      <w:r w:rsidRPr="00285270">
        <w:rPr>
          <w:rFonts w:ascii="Times New Roman" w:hAnsi="Times New Roman"/>
        </w:rPr>
        <w:t xml:space="preserve"> National Center for Research in Vocational Education. </w:t>
      </w:r>
    </w:p>
    <w:p w14:paraId="7A262BB5" w14:textId="77777777" w:rsidR="001C627F" w:rsidRPr="001C627F" w:rsidRDefault="001C627F" w:rsidP="001C627F">
      <w:pPr>
        <w:autoSpaceDE w:val="0"/>
        <w:autoSpaceDN w:val="0"/>
        <w:adjustRightInd w:val="0"/>
        <w:spacing w:after="240"/>
        <w:ind w:left="990" w:hanging="630"/>
        <w:rPr>
          <w:sz w:val="24"/>
          <w:szCs w:val="24"/>
        </w:rPr>
      </w:pPr>
      <w:proofErr w:type="spellStart"/>
      <w:r>
        <w:rPr>
          <w:sz w:val="24"/>
          <w:szCs w:val="24"/>
        </w:rPr>
        <w:t>Rasinski</w:t>
      </w:r>
      <w:proofErr w:type="spellEnd"/>
      <w:r>
        <w:rPr>
          <w:sz w:val="24"/>
          <w:szCs w:val="24"/>
        </w:rPr>
        <w:t>, K., Bradburn, N.</w:t>
      </w:r>
      <w:r w:rsidRPr="00285270">
        <w:rPr>
          <w:sz w:val="24"/>
          <w:szCs w:val="24"/>
        </w:rPr>
        <w:t xml:space="preserve">, &amp; </w:t>
      </w:r>
      <w:r w:rsidRPr="006B7D67">
        <w:rPr>
          <w:b/>
          <w:sz w:val="24"/>
          <w:szCs w:val="24"/>
        </w:rPr>
        <w:t>Lauen, D</w:t>
      </w:r>
      <w:r>
        <w:rPr>
          <w:sz w:val="24"/>
          <w:szCs w:val="24"/>
        </w:rPr>
        <w:t>. (1999)</w:t>
      </w:r>
      <w:r w:rsidRPr="00285270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85270">
        <w:rPr>
          <w:sz w:val="24"/>
          <w:szCs w:val="24"/>
        </w:rPr>
        <w:t xml:space="preserve">The </w:t>
      </w:r>
      <w:r>
        <w:rPr>
          <w:sz w:val="24"/>
          <w:szCs w:val="24"/>
        </w:rPr>
        <w:t>E</w:t>
      </w:r>
      <w:r w:rsidRPr="00285270">
        <w:rPr>
          <w:sz w:val="24"/>
          <w:szCs w:val="24"/>
        </w:rPr>
        <w:t xml:space="preserve">ffects of </w:t>
      </w:r>
      <w:r>
        <w:rPr>
          <w:sz w:val="24"/>
          <w:szCs w:val="24"/>
        </w:rPr>
        <w:t>M</w:t>
      </w:r>
      <w:r w:rsidRPr="00285270">
        <w:rPr>
          <w:sz w:val="24"/>
          <w:szCs w:val="24"/>
        </w:rPr>
        <w:t xml:space="preserve">edia </w:t>
      </w:r>
      <w:r>
        <w:rPr>
          <w:sz w:val="24"/>
          <w:szCs w:val="24"/>
        </w:rPr>
        <w:t>C</w:t>
      </w:r>
      <w:r w:rsidRPr="00285270">
        <w:rPr>
          <w:sz w:val="24"/>
          <w:szCs w:val="24"/>
        </w:rPr>
        <w:t xml:space="preserve">overage of the </w:t>
      </w:r>
      <w:r>
        <w:rPr>
          <w:sz w:val="24"/>
          <w:szCs w:val="24"/>
        </w:rPr>
        <w:t>N</w:t>
      </w:r>
      <w:r w:rsidRPr="00285270">
        <w:rPr>
          <w:sz w:val="24"/>
          <w:szCs w:val="24"/>
        </w:rPr>
        <w:t xml:space="preserve">ational </w:t>
      </w:r>
      <w:r>
        <w:rPr>
          <w:sz w:val="24"/>
          <w:szCs w:val="24"/>
        </w:rPr>
        <w:t>I</w:t>
      </w:r>
      <w:r w:rsidRPr="00285270">
        <w:rPr>
          <w:sz w:val="24"/>
          <w:szCs w:val="24"/>
        </w:rPr>
        <w:t xml:space="preserve">ssues </w:t>
      </w:r>
      <w:r>
        <w:rPr>
          <w:sz w:val="24"/>
          <w:szCs w:val="24"/>
        </w:rPr>
        <w:t>C</w:t>
      </w:r>
      <w:r w:rsidRPr="00285270">
        <w:rPr>
          <w:sz w:val="24"/>
          <w:szCs w:val="24"/>
        </w:rPr>
        <w:t xml:space="preserve">onvention on </w:t>
      </w:r>
      <w:r>
        <w:rPr>
          <w:sz w:val="24"/>
          <w:szCs w:val="24"/>
        </w:rPr>
        <w:t>C</w:t>
      </w:r>
      <w:r w:rsidRPr="00285270">
        <w:rPr>
          <w:sz w:val="24"/>
          <w:szCs w:val="24"/>
        </w:rPr>
        <w:t xml:space="preserve">itizen </w:t>
      </w:r>
      <w:r>
        <w:rPr>
          <w:sz w:val="24"/>
          <w:szCs w:val="24"/>
        </w:rPr>
        <w:t>Attitudes and Opinions.” In M.</w:t>
      </w:r>
      <w:r w:rsidRPr="00285270">
        <w:rPr>
          <w:sz w:val="24"/>
          <w:szCs w:val="24"/>
        </w:rPr>
        <w:t xml:space="preserve"> McCombs &amp; A. Reynolds (Eds.), </w:t>
      </w:r>
      <w:r w:rsidRPr="00285270">
        <w:rPr>
          <w:i/>
          <w:iCs/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P</w:t>
      </w:r>
      <w:r w:rsidRPr="00285270">
        <w:rPr>
          <w:i/>
          <w:iCs/>
          <w:sz w:val="24"/>
          <w:szCs w:val="24"/>
        </w:rPr>
        <w:t xml:space="preserve">oll with a </w:t>
      </w:r>
      <w:r>
        <w:rPr>
          <w:i/>
          <w:iCs/>
          <w:sz w:val="24"/>
          <w:szCs w:val="24"/>
        </w:rPr>
        <w:t>H</w:t>
      </w:r>
      <w:r w:rsidRPr="00285270">
        <w:rPr>
          <w:i/>
          <w:iCs/>
          <w:sz w:val="24"/>
          <w:szCs w:val="24"/>
        </w:rPr>
        <w:t xml:space="preserve">uman </w:t>
      </w:r>
      <w:r>
        <w:rPr>
          <w:i/>
          <w:iCs/>
          <w:sz w:val="24"/>
          <w:szCs w:val="24"/>
        </w:rPr>
        <w:t>F</w:t>
      </w:r>
      <w:r w:rsidRPr="00285270">
        <w:rPr>
          <w:i/>
          <w:iCs/>
          <w:sz w:val="24"/>
          <w:szCs w:val="24"/>
        </w:rPr>
        <w:t xml:space="preserve">ace: The </w:t>
      </w:r>
      <w:r>
        <w:rPr>
          <w:i/>
          <w:iCs/>
          <w:sz w:val="24"/>
          <w:szCs w:val="24"/>
        </w:rPr>
        <w:t>N</w:t>
      </w:r>
      <w:r w:rsidRPr="00285270">
        <w:rPr>
          <w:i/>
          <w:iCs/>
          <w:sz w:val="24"/>
          <w:szCs w:val="24"/>
        </w:rPr>
        <w:t xml:space="preserve">ational </w:t>
      </w:r>
      <w:r>
        <w:rPr>
          <w:i/>
          <w:iCs/>
          <w:sz w:val="24"/>
          <w:szCs w:val="24"/>
        </w:rPr>
        <w:t>I</w:t>
      </w:r>
      <w:r w:rsidRPr="00285270">
        <w:rPr>
          <w:i/>
          <w:iCs/>
          <w:sz w:val="24"/>
          <w:szCs w:val="24"/>
        </w:rPr>
        <w:t xml:space="preserve">ssues </w:t>
      </w:r>
      <w:r>
        <w:rPr>
          <w:i/>
          <w:iCs/>
          <w:sz w:val="24"/>
          <w:szCs w:val="24"/>
        </w:rPr>
        <w:t>C</w:t>
      </w:r>
      <w:r w:rsidRPr="00285270">
        <w:rPr>
          <w:i/>
          <w:iCs/>
          <w:sz w:val="24"/>
          <w:szCs w:val="24"/>
        </w:rPr>
        <w:t xml:space="preserve">onvention </w:t>
      </w:r>
      <w:r>
        <w:rPr>
          <w:i/>
          <w:iCs/>
          <w:sz w:val="24"/>
          <w:szCs w:val="24"/>
        </w:rPr>
        <w:t>E</w:t>
      </w:r>
      <w:r w:rsidRPr="00285270">
        <w:rPr>
          <w:i/>
          <w:iCs/>
          <w:sz w:val="24"/>
          <w:szCs w:val="24"/>
        </w:rPr>
        <w:t xml:space="preserve">xperiment in </w:t>
      </w:r>
      <w:r>
        <w:rPr>
          <w:i/>
          <w:iCs/>
          <w:sz w:val="24"/>
          <w:szCs w:val="24"/>
        </w:rPr>
        <w:t>P</w:t>
      </w:r>
      <w:r w:rsidRPr="00285270">
        <w:rPr>
          <w:i/>
          <w:iCs/>
          <w:sz w:val="24"/>
          <w:szCs w:val="24"/>
        </w:rPr>
        <w:t xml:space="preserve">olitical </w:t>
      </w:r>
      <w:r>
        <w:rPr>
          <w:i/>
          <w:iCs/>
          <w:sz w:val="24"/>
          <w:szCs w:val="24"/>
        </w:rPr>
        <w:t>C</w:t>
      </w:r>
      <w:r w:rsidRPr="00285270">
        <w:rPr>
          <w:i/>
          <w:iCs/>
          <w:sz w:val="24"/>
          <w:szCs w:val="24"/>
        </w:rPr>
        <w:t>ommunication</w:t>
      </w:r>
      <w:r w:rsidRPr="002852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85270">
        <w:rPr>
          <w:sz w:val="24"/>
          <w:szCs w:val="24"/>
        </w:rPr>
        <w:t>Mahwah</w:t>
      </w:r>
      <w:r>
        <w:rPr>
          <w:sz w:val="24"/>
          <w:szCs w:val="24"/>
        </w:rPr>
        <w:t>, NJ</w:t>
      </w:r>
      <w:r w:rsidRPr="00285270">
        <w:rPr>
          <w:sz w:val="24"/>
          <w:szCs w:val="24"/>
        </w:rPr>
        <w:t>: Lawrence Erlbaum.</w:t>
      </w:r>
    </w:p>
    <w:p w14:paraId="2567BC7C" w14:textId="77777777" w:rsidR="00F91E30" w:rsidRPr="00285270" w:rsidRDefault="00F91E30" w:rsidP="00F91E30">
      <w:pPr>
        <w:pStyle w:val="vitaentry"/>
        <w:tabs>
          <w:tab w:val="clear" w:pos="1260"/>
        </w:tabs>
        <w:ind w:left="990" w:hanging="630"/>
        <w:rPr>
          <w:rFonts w:ascii="Times New Roman" w:hAnsi="Times New Roman"/>
        </w:rPr>
      </w:pPr>
      <w:proofErr w:type="spellStart"/>
      <w:r w:rsidRPr="00285270">
        <w:rPr>
          <w:rFonts w:ascii="Times New Roman" w:hAnsi="Times New Roman"/>
        </w:rPr>
        <w:t>Visher</w:t>
      </w:r>
      <w:proofErr w:type="spellEnd"/>
      <w:r w:rsidRPr="00285270">
        <w:rPr>
          <w:rFonts w:ascii="Times New Roman" w:hAnsi="Times New Roman"/>
        </w:rPr>
        <w:t xml:space="preserve">, M., </w:t>
      </w:r>
      <w:r w:rsidRPr="006B7D67">
        <w:rPr>
          <w:rFonts w:ascii="Times New Roman" w:hAnsi="Times New Roman"/>
          <w:b/>
        </w:rPr>
        <w:t>Lauen, D</w:t>
      </w:r>
      <w:r w:rsidRPr="00285270">
        <w:rPr>
          <w:rFonts w:ascii="Times New Roman" w:hAnsi="Times New Roman"/>
        </w:rPr>
        <w:t xml:space="preserve">., Merola, L. &amp; Medrich, E. (1998). </w:t>
      </w:r>
      <w:r>
        <w:rPr>
          <w:rFonts w:ascii="Times New Roman" w:hAnsi="Times New Roman"/>
          <w:i/>
        </w:rPr>
        <w:t>School-to-Work in the 1990s: A L</w:t>
      </w:r>
      <w:r w:rsidRPr="00285270">
        <w:rPr>
          <w:rFonts w:ascii="Times New Roman" w:hAnsi="Times New Roman"/>
          <w:i/>
        </w:rPr>
        <w:t xml:space="preserve">ook at </w:t>
      </w:r>
      <w:r>
        <w:rPr>
          <w:rFonts w:ascii="Times New Roman" w:hAnsi="Times New Roman"/>
          <w:i/>
        </w:rPr>
        <w:t>Programs and P</w:t>
      </w:r>
      <w:r w:rsidRPr="00285270">
        <w:rPr>
          <w:rFonts w:ascii="Times New Roman" w:hAnsi="Times New Roman"/>
          <w:i/>
        </w:rPr>
        <w:t xml:space="preserve">ractices in </w:t>
      </w:r>
      <w:r>
        <w:rPr>
          <w:rFonts w:ascii="Times New Roman" w:hAnsi="Times New Roman"/>
          <w:i/>
        </w:rPr>
        <w:t>American High S</w:t>
      </w:r>
      <w:r w:rsidRPr="00285270">
        <w:rPr>
          <w:rFonts w:ascii="Times New Roman" w:hAnsi="Times New Roman"/>
          <w:i/>
        </w:rPr>
        <w:t>chools</w:t>
      </w:r>
      <w:r w:rsidRPr="00285270">
        <w:rPr>
          <w:rFonts w:ascii="Times New Roman" w:hAnsi="Times New Roman"/>
        </w:rPr>
        <w:t>. Berkeley</w:t>
      </w:r>
      <w:r>
        <w:rPr>
          <w:rFonts w:ascii="Times New Roman" w:hAnsi="Times New Roman"/>
        </w:rPr>
        <w:t>, CA</w:t>
      </w:r>
      <w:r w:rsidRPr="00285270">
        <w:rPr>
          <w:rFonts w:ascii="Times New Roman" w:hAnsi="Times New Roman"/>
        </w:rPr>
        <w:t>: MPR Associates, Inc.</w:t>
      </w:r>
    </w:p>
    <w:p w14:paraId="17B6B319" w14:textId="11B6DC64" w:rsidR="00F91E30" w:rsidRDefault="00F91E30" w:rsidP="00F91E30">
      <w:pPr>
        <w:autoSpaceDE w:val="0"/>
        <w:autoSpaceDN w:val="0"/>
        <w:adjustRightInd w:val="0"/>
        <w:spacing w:after="240"/>
        <w:ind w:left="990" w:hanging="630"/>
        <w:rPr>
          <w:sz w:val="24"/>
          <w:szCs w:val="24"/>
        </w:rPr>
      </w:pPr>
      <w:r w:rsidRPr="00285270">
        <w:rPr>
          <w:sz w:val="24"/>
          <w:szCs w:val="24"/>
        </w:rPr>
        <w:t xml:space="preserve">Kaufman, P., Chavez, L., </w:t>
      </w:r>
      <w:r>
        <w:rPr>
          <w:sz w:val="24"/>
          <w:szCs w:val="24"/>
        </w:rPr>
        <w:t xml:space="preserve">&amp; </w:t>
      </w:r>
      <w:r w:rsidRPr="006B7D67">
        <w:rPr>
          <w:b/>
          <w:sz w:val="24"/>
          <w:szCs w:val="24"/>
        </w:rPr>
        <w:t>Lauen, D</w:t>
      </w:r>
      <w:r w:rsidRPr="006B7D67">
        <w:rPr>
          <w:sz w:val="24"/>
          <w:szCs w:val="24"/>
        </w:rPr>
        <w:t>.</w:t>
      </w:r>
      <w:r w:rsidRPr="00285270">
        <w:rPr>
          <w:sz w:val="24"/>
          <w:szCs w:val="24"/>
        </w:rPr>
        <w:t xml:space="preserve"> (1998). </w:t>
      </w:r>
      <w:r>
        <w:rPr>
          <w:i/>
          <w:iCs/>
          <w:sz w:val="24"/>
          <w:szCs w:val="24"/>
        </w:rPr>
        <w:t>Generational Status and Educational Outcomes A</w:t>
      </w:r>
      <w:r w:rsidRPr="00285270">
        <w:rPr>
          <w:i/>
          <w:iCs/>
          <w:sz w:val="24"/>
          <w:szCs w:val="24"/>
        </w:rPr>
        <w:t xml:space="preserve">mong </w:t>
      </w:r>
      <w:r>
        <w:rPr>
          <w:i/>
          <w:iCs/>
          <w:sz w:val="24"/>
          <w:szCs w:val="24"/>
        </w:rPr>
        <w:t>A</w:t>
      </w:r>
      <w:r w:rsidRPr="00285270">
        <w:rPr>
          <w:i/>
          <w:iCs/>
          <w:sz w:val="24"/>
          <w:szCs w:val="24"/>
        </w:rPr>
        <w:t xml:space="preserve">sian and </w:t>
      </w:r>
      <w:r>
        <w:rPr>
          <w:i/>
          <w:iCs/>
          <w:sz w:val="24"/>
          <w:szCs w:val="24"/>
        </w:rPr>
        <w:t>Hispanic 1988 Eighth G</w:t>
      </w:r>
      <w:r w:rsidRPr="00285270">
        <w:rPr>
          <w:i/>
          <w:iCs/>
          <w:sz w:val="24"/>
          <w:szCs w:val="24"/>
        </w:rPr>
        <w:t>raders</w:t>
      </w:r>
      <w:r w:rsidRPr="002852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85270">
        <w:rPr>
          <w:sz w:val="24"/>
          <w:szCs w:val="24"/>
        </w:rPr>
        <w:t>Washington, DC: U.S. Dept. of Education, National Center on Educational Statistics.</w:t>
      </w:r>
    </w:p>
    <w:p w14:paraId="468C6054" w14:textId="5C982687" w:rsidR="004377D7" w:rsidRDefault="004377D7" w:rsidP="009445D3">
      <w:pPr>
        <w:pStyle w:val="VitaHead"/>
      </w:pPr>
      <w:r w:rsidRPr="002C4FBF">
        <w:lastRenderedPageBreak/>
        <w:t>Refereed unpublished oral presentations and/or abstracts</w:t>
      </w:r>
    </w:p>
    <w:p w14:paraId="367810BE" w14:textId="372724E3" w:rsidR="008A1C96" w:rsidRDefault="004377D7" w:rsidP="008A1C96">
      <w:pPr>
        <w:pStyle w:val="aasectionsub"/>
        <w:rPr>
          <w:rStyle w:val="print-title"/>
        </w:rPr>
      </w:pPr>
      <w:r w:rsidRPr="001D1143">
        <w:t>Presentations (last five years)</w:t>
      </w:r>
    </w:p>
    <w:p w14:paraId="193C0F0C" w14:textId="2E34E57E" w:rsidR="002B088B" w:rsidRDefault="002B088B" w:rsidP="00406C21">
      <w:pPr>
        <w:pStyle w:val="VitaPub"/>
        <w:ind w:left="990" w:hanging="630"/>
        <w:rPr>
          <w:rStyle w:val="print-title"/>
        </w:rPr>
      </w:pPr>
      <w:r>
        <w:rPr>
          <w:color w:val="000000"/>
        </w:rPr>
        <w:t>“</w:t>
      </w:r>
      <w:r w:rsidRPr="002B088B">
        <w:rPr>
          <w:color w:val="000000"/>
        </w:rPr>
        <w:t>Out of Bounds: The Implications of Non-Resident Charter Attendees for North Carolina Educational Policy and Finance</w:t>
      </w:r>
      <w:r>
        <w:rPr>
          <w:color w:val="000000"/>
        </w:rPr>
        <w:t>.” Recent Advancements in Education Finance Conference (Online)</w:t>
      </w:r>
      <w:r w:rsidR="00E339B0">
        <w:rPr>
          <w:color w:val="000000"/>
        </w:rPr>
        <w:t xml:space="preserve">, January 15, 2021. </w:t>
      </w:r>
    </w:p>
    <w:p w14:paraId="6ACB49D2" w14:textId="77777777" w:rsidR="002B088B" w:rsidRDefault="0085259D" w:rsidP="002B088B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>“A Review of Methods for Assessing Sensitivity of Quasi-Experimental Effect Estimates to Unobserved Confounders.” Association of Policy Analysis and Management, November 7, 2019. (</w:t>
      </w:r>
      <w:proofErr w:type="gramStart"/>
      <w:r>
        <w:rPr>
          <w:rStyle w:val="print-title"/>
        </w:rPr>
        <w:t>coauthored</w:t>
      </w:r>
      <w:proofErr w:type="gramEnd"/>
      <w:r>
        <w:rPr>
          <w:rStyle w:val="print-title"/>
        </w:rPr>
        <w:t xml:space="preserve"> paper presented by Fatih Unlu)</w:t>
      </w:r>
    </w:p>
    <w:p w14:paraId="3366E5A9" w14:textId="7899941E" w:rsidR="0085259D" w:rsidRDefault="0085259D" w:rsidP="00406C21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>“Exclusionary School Discipline and Adult Conviction: Evidence from Population Level State Administrative Data</w:t>
      </w:r>
      <w:r w:rsidR="00072C19">
        <w:rPr>
          <w:rStyle w:val="print-title"/>
        </w:rPr>
        <w:t>.” Association of Policy Analysis and Management, November 7, 2019.</w:t>
      </w:r>
    </w:p>
    <w:p w14:paraId="15A77E5A" w14:textId="5CF2B0D9" w:rsidR="00406C21" w:rsidRDefault="00406C21" w:rsidP="00406C21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 xml:space="preserve">“A Path Towards Citizenship: The Effects of Early College High Schools on Criminal Convictions and Voting.” American Educational Research Association, Toronto, Canada, April 7, 2019. </w:t>
      </w:r>
    </w:p>
    <w:p w14:paraId="4DD86803" w14:textId="6969A9E4" w:rsidR="004377D7" w:rsidRDefault="004377D7" w:rsidP="004377D7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 xml:space="preserve">“A Path Towards Citizenship: The Effects of Early College High Schools on Criminal Convictions and Voting.” Carolina Population Center, UNC Chapel Hill. January 11, 2019. </w:t>
      </w:r>
    </w:p>
    <w:p w14:paraId="021B0D24" w14:textId="77777777" w:rsidR="004377D7" w:rsidRDefault="004377D7" w:rsidP="004377D7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 xml:space="preserve">“A Path Towards Citizenship: The Effects of Early College High Schools on Criminal Convictions and Voting.” ADRF Network, Washington, DC. November 14, 2018. </w:t>
      </w:r>
    </w:p>
    <w:p w14:paraId="62D3CD95" w14:textId="77777777" w:rsidR="004377D7" w:rsidRDefault="004377D7" w:rsidP="004377D7">
      <w:pPr>
        <w:pStyle w:val="VitaPub"/>
        <w:ind w:left="990" w:hanging="630"/>
        <w:rPr>
          <w:rStyle w:val="print-title"/>
        </w:rPr>
      </w:pPr>
      <w:r>
        <w:rPr>
          <w:rStyle w:val="print-title"/>
        </w:rPr>
        <w:t xml:space="preserve">“A Path Towards Citizenship: The Effects of Early College High Schools on Criminal Convictions and Voting.” Bogue Demography Workshop, University of Chicago. November 1, 2018. </w:t>
      </w:r>
    </w:p>
    <w:p w14:paraId="7282AD1D" w14:textId="77777777" w:rsidR="004377D7" w:rsidRPr="00687DD8" w:rsidRDefault="004377D7" w:rsidP="004377D7">
      <w:pPr>
        <w:pStyle w:val="VitaPub"/>
        <w:ind w:left="990" w:hanging="630"/>
        <w:rPr>
          <w:rStyle w:val="print-title"/>
        </w:rPr>
      </w:pPr>
      <w:r w:rsidRPr="00687DD8">
        <w:rPr>
          <w:rStyle w:val="print-title"/>
        </w:rPr>
        <w:t>“Charter High School Effects on Students’ Behavior, Voting, and Crime.” Association for Education Finance and Policy. Portland, OR, March 17, 2018. (</w:t>
      </w:r>
      <w:proofErr w:type="gramStart"/>
      <w:r w:rsidRPr="00687DD8">
        <w:rPr>
          <w:rStyle w:val="print-title"/>
        </w:rPr>
        <w:t>coauthored</w:t>
      </w:r>
      <w:proofErr w:type="gramEnd"/>
      <w:r w:rsidRPr="00687DD8">
        <w:rPr>
          <w:rStyle w:val="print-title"/>
        </w:rPr>
        <w:t xml:space="preserve"> paper presented by Andrew McEachin)</w:t>
      </w:r>
    </w:p>
    <w:p w14:paraId="1A38162B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rStyle w:val="print-title"/>
        </w:rPr>
        <w:t xml:space="preserve">“Early College High Schools at Scale: Probing heterogeneity of impacts on secondary and postsecondary completion.” Association for Education Finance and Policy. Portland, OR, March 15, 2018. </w:t>
      </w:r>
    </w:p>
    <w:p w14:paraId="74B720FF" w14:textId="77777777" w:rsidR="004377D7" w:rsidRPr="00687DD8" w:rsidRDefault="004377D7" w:rsidP="004377D7">
      <w:pPr>
        <w:pStyle w:val="VitaPub"/>
        <w:ind w:left="990" w:hanging="630"/>
        <w:rPr>
          <w:i/>
          <w:szCs w:val="24"/>
        </w:rPr>
      </w:pPr>
      <w:r w:rsidRPr="00687DD8">
        <w:rPr>
          <w:rStyle w:val="Emphasis"/>
          <w:i w:val="0"/>
        </w:rPr>
        <w:t xml:space="preserve">“Early College High Schools at Scale: Probing Impacts and Generalizability with a Quasi-Experiment Benchmarked Against a Randomized Controlled Trial.” Society for Research on Educational Effectiveness. Washington, DC, </w:t>
      </w:r>
      <w:proofErr w:type="gramStart"/>
      <w:r w:rsidRPr="00687DD8">
        <w:rPr>
          <w:rStyle w:val="Emphasis"/>
          <w:i w:val="0"/>
        </w:rPr>
        <w:t>February,</w:t>
      </w:r>
      <w:proofErr w:type="gramEnd"/>
      <w:r w:rsidRPr="00687DD8">
        <w:rPr>
          <w:rStyle w:val="Emphasis"/>
          <w:i w:val="0"/>
        </w:rPr>
        <w:t xml:space="preserve"> 28, 2018. </w:t>
      </w:r>
    </w:p>
    <w:p w14:paraId="3079CB60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“Charter School Selection, Effects, and Competition: Evidence from North Carolina.” Panel Organizer. Association of Policy Analysis and Management. Washington, DC November 3, 2017.</w:t>
      </w:r>
    </w:p>
    <w:p w14:paraId="4B7BFBB7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“Charter High School Effects on Short and Long Run Outcomes. Association of Policy Analysis and Management.” Association of Policy Analysis and Management. Washington, DC November 3, 2017.</w:t>
      </w:r>
    </w:p>
    <w:p w14:paraId="6E746D26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lastRenderedPageBreak/>
        <w:t>“Switchers and Stayers: Elementary and Middle Charter School Effectiveness in North Carolina, 2004-2015.” Association of Policy Analysis and Management. Washington, DC November 3, 2017. (</w:t>
      </w:r>
      <w:proofErr w:type="gramStart"/>
      <w:r w:rsidRPr="00687DD8">
        <w:rPr>
          <w:szCs w:val="24"/>
        </w:rPr>
        <w:t>coauthored</w:t>
      </w:r>
      <w:proofErr w:type="gramEnd"/>
      <w:r w:rsidRPr="00687DD8">
        <w:rPr>
          <w:szCs w:val="24"/>
        </w:rPr>
        <w:t xml:space="preserve"> paper presented by Lisa Spees)</w:t>
      </w:r>
    </w:p>
    <w:p w14:paraId="038C4A90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“Coursework and Instructional Time” Discussant. Association of Policy Analysis and Management. Washington, DC November 3, 2017.</w:t>
      </w:r>
    </w:p>
    <w:p w14:paraId="38151E40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“Shopping for Schools: Examining Policies that Help Parents Navigate School Choice.” Chair. Association of Policy Analysis and Management. Washington, DC November 3, 2017.</w:t>
      </w:r>
    </w:p>
    <w:p w14:paraId="1D364FF9" w14:textId="77777777" w:rsidR="004377D7" w:rsidRPr="00687DD8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“Bringing the Full Picture into Focus: A Consideration of the Internal and External Validity of Charter School Effects.” Invited talk. 16</w:t>
      </w:r>
      <w:r w:rsidRPr="00687DD8">
        <w:rPr>
          <w:szCs w:val="24"/>
          <w:vertAlign w:val="superscript"/>
        </w:rPr>
        <w:t>th</w:t>
      </w:r>
      <w:r w:rsidRPr="00687DD8">
        <w:rPr>
          <w:szCs w:val="24"/>
        </w:rPr>
        <w:t xml:space="preserve"> International Symposium on Knowledge and Space. The Role of Socio-Environmental Settings for Learning and Educational Attainment. Heidelberg University, Heidelberg, Germany. September 15, 2017. </w:t>
      </w:r>
    </w:p>
    <w:p w14:paraId="47A6CB50" w14:textId="77777777" w:rsidR="004377D7" w:rsidRDefault="004377D7" w:rsidP="004377D7">
      <w:pPr>
        <w:pStyle w:val="VitaPub"/>
        <w:ind w:left="990" w:hanging="630"/>
        <w:rPr>
          <w:szCs w:val="24"/>
        </w:rPr>
      </w:pPr>
      <w:r w:rsidRPr="00687DD8">
        <w:rPr>
          <w:szCs w:val="24"/>
        </w:rPr>
        <w:t>“The Effects of Charter Schools on Racial and Ethnic Groups through the Educational Life Course.” Invited talk. Lives of Color: Race-Ethnicity and the Life Course. Center for Life Course and Longitudinal Studies. Penn State University. June 14, 2017.</w:t>
      </w:r>
      <w:r>
        <w:rPr>
          <w:szCs w:val="24"/>
        </w:rPr>
        <w:t xml:space="preserve"> </w:t>
      </w:r>
    </w:p>
    <w:p w14:paraId="64D29D51" w14:textId="77777777" w:rsidR="004377D7" w:rsidRPr="00186850" w:rsidRDefault="004377D7" w:rsidP="004377D7">
      <w:pPr>
        <w:pStyle w:val="VitaPub"/>
        <w:ind w:left="990" w:hanging="630"/>
        <w:rPr>
          <w:b/>
          <w:szCs w:val="24"/>
        </w:rPr>
      </w:pPr>
      <w:r>
        <w:rPr>
          <w:rStyle w:val="paperlisttitle"/>
        </w:rPr>
        <w:t>“</w:t>
      </w:r>
      <w:r w:rsidRPr="00593B2B">
        <w:rPr>
          <w:rStyle w:val="paperlisttitle"/>
        </w:rPr>
        <w:t>Transition to Middle School and Peer Group Movement: Effects on Math and Reading Test Score Gains</w:t>
      </w:r>
      <w:r>
        <w:rPr>
          <w:rStyle w:val="paperlisttitle"/>
        </w:rPr>
        <w:t>.” Population Association of America. Chicago, IL.</w:t>
      </w:r>
      <w:r>
        <w:rPr>
          <w:rStyle w:val="topdisplay"/>
        </w:rPr>
        <w:t xml:space="preserve"> </w:t>
      </w:r>
      <w:r>
        <w:rPr>
          <w:rStyle w:val="entryinformation"/>
        </w:rPr>
        <w:t xml:space="preserve"> April 28, 2017 (coauthored paper presented by Tori Thomas). </w:t>
      </w:r>
    </w:p>
    <w:p w14:paraId="7EEA23C8" w14:textId="77777777" w:rsidR="004377D7" w:rsidRDefault="004377D7" w:rsidP="004377D7">
      <w:pPr>
        <w:pStyle w:val="VitaPub"/>
        <w:ind w:left="990" w:hanging="630"/>
        <w:rPr>
          <w:szCs w:val="24"/>
        </w:rPr>
      </w:pPr>
      <w:r>
        <w:rPr>
          <w:szCs w:val="24"/>
        </w:rPr>
        <w:t xml:space="preserve">“Early College at Scale in North Carolina: Probing Impacts and Generalizability with a Quasi-Experiment Benchmarked Against an RCT.” Invited talk. Center for Research on Educational Opportunity, Notre Dame, November 14, 2016. </w:t>
      </w:r>
    </w:p>
    <w:p w14:paraId="776BBD6B" w14:textId="77777777" w:rsidR="004377D7" w:rsidRDefault="004377D7" w:rsidP="004377D7">
      <w:pPr>
        <w:pStyle w:val="VitaPub"/>
        <w:ind w:left="990" w:hanging="630"/>
        <w:rPr>
          <w:szCs w:val="24"/>
        </w:rPr>
      </w:pPr>
      <w:r>
        <w:rPr>
          <w:szCs w:val="24"/>
        </w:rPr>
        <w:t xml:space="preserve"> “Early Colleges in North Carolina: Assessing Lottery and Non-Lottery Impacts” Association of Policy Analysis and Management, Washington, DC, November 5, 2016.  </w:t>
      </w:r>
    </w:p>
    <w:p w14:paraId="7B4EA52F" w14:textId="77777777" w:rsidR="004377D7" w:rsidRDefault="004377D7" w:rsidP="004377D7">
      <w:pPr>
        <w:pStyle w:val="VitaPub"/>
        <w:ind w:left="990" w:hanging="630"/>
        <w:rPr>
          <w:szCs w:val="24"/>
        </w:rPr>
      </w:pPr>
      <w:r>
        <w:rPr>
          <w:szCs w:val="24"/>
        </w:rPr>
        <w:t xml:space="preserve">“Helping Every Child Succeed.” Carolina Forum, moderator of conversation with Katie Haycock (Education Trust) and Margaret Spellings (President of University of North Carolina). Chapel Hill, September 22, 2016. </w:t>
      </w:r>
    </w:p>
    <w:p w14:paraId="1323EAE5" w14:textId="77777777" w:rsidR="004377D7" w:rsidRDefault="004377D7" w:rsidP="004377D7">
      <w:pPr>
        <w:pStyle w:val="VitaPub"/>
        <w:ind w:left="990" w:hanging="630"/>
        <w:rPr>
          <w:szCs w:val="24"/>
        </w:rPr>
      </w:pPr>
      <w:r>
        <w:rPr>
          <w:szCs w:val="24"/>
        </w:rPr>
        <w:t xml:space="preserve">“Early College at Scale in North Carolina: Probing Impacts and Generalizability with a Quasi-Experiment Benchmarked Against an RCT.” Causal Inference Research Group, </w:t>
      </w:r>
      <w:proofErr w:type="spellStart"/>
      <w:r>
        <w:rPr>
          <w:szCs w:val="24"/>
        </w:rPr>
        <w:t>Gillings</w:t>
      </w:r>
      <w:proofErr w:type="spellEnd"/>
      <w:r>
        <w:rPr>
          <w:szCs w:val="24"/>
        </w:rPr>
        <w:t xml:space="preserve"> School of Public Health, UNC Chapel Hill. May 6, 2016. </w:t>
      </w:r>
    </w:p>
    <w:p w14:paraId="63F71F8B" w14:textId="77777777" w:rsidR="004377D7" w:rsidRDefault="004377D7" w:rsidP="004377D7">
      <w:pPr>
        <w:pStyle w:val="VitaPub"/>
        <w:ind w:left="990" w:hanging="630"/>
      </w:pPr>
      <w:r>
        <w:t xml:space="preserve"> “Unpacking the Null: School Poverty Effects on Test Score Achievement Growth.” Invited talk, Johns Hopkins University, Department of Sociology. Baltimore, MD. March 23, 2016. </w:t>
      </w:r>
    </w:p>
    <w:p w14:paraId="1A81F4DC" w14:textId="77777777" w:rsidR="004377D7" w:rsidRDefault="004377D7" w:rsidP="004377D7">
      <w:pPr>
        <w:pStyle w:val="VitaPub"/>
        <w:ind w:left="990" w:hanging="630"/>
      </w:pPr>
      <w:r>
        <w:t xml:space="preserve"> “Unpacking the Null: School Poverty Effects on Test Score Achievement Growth.” Invited talk, University of Maryland, Baltimore County, Department of Public Policy. Baltimore, MD. March 22, 2016. </w:t>
      </w:r>
    </w:p>
    <w:p w14:paraId="069B5BD7" w14:textId="77777777" w:rsidR="004377D7" w:rsidRDefault="004377D7" w:rsidP="004377D7">
      <w:pPr>
        <w:pStyle w:val="VitaPub"/>
        <w:ind w:left="990" w:hanging="630"/>
      </w:pPr>
      <w:r>
        <w:t>“Stratification or Selection? The Impact of School Poverty on Student Achievement Trajectories from Kindergarten to Eighth Grade.” Sociology of Education Association. Monterey, CA. February 20, 2016. (</w:t>
      </w:r>
      <w:proofErr w:type="gramStart"/>
      <w:r>
        <w:t>coauthored</w:t>
      </w:r>
      <w:proofErr w:type="gramEnd"/>
      <w:r>
        <w:t xml:space="preserve"> paper presented by Brian Levy)</w:t>
      </w:r>
    </w:p>
    <w:p w14:paraId="111EF843" w14:textId="77777777" w:rsidR="004377D7" w:rsidRDefault="004377D7" w:rsidP="004377D7">
      <w:pPr>
        <w:pStyle w:val="VitaPub"/>
        <w:ind w:left="990" w:hanging="630"/>
      </w:pPr>
      <w:r>
        <w:lastRenderedPageBreak/>
        <w:t xml:space="preserve">“Strategies for Improving Non-cognitive Outcomes for Children.” Association of Policy Analysis and Management. Miami, FL. November 13, 2015. Discussant. </w:t>
      </w:r>
    </w:p>
    <w:p w14:paraId="6C26DBCF" w14:textId="77777777" w:rsidR="004377D7" w:rsidRDefault="004377D7" w:rsidP="004377D7">
      <w:pPr>
        <w:pStyle w:val="VitaPub"/>
        <w:ind w:left="990" w:hanging="630"/>
      </w:pPr>
      <w:r>
        <w:t xml:space="preserve">“Policy Impact Evaluation.” Invited talk, WZB Berlin Social Science Center, Berlin, Germany. July 20, 2015. </w:t>
      </w:r>
    </w:p>
    <w:p w14:paraId="29CB7A41" w14:textId="77777777" w:rsidR="004377D7" w:rsidRDefault="004377D7" w:rsidP="004377D7">
      <w:pPr>
        <w:pStyle w:val="VitaPub"/>
        <w:ind w:left="990" w:hanging="630"/>
      </w:pPr>
      <w:r>
        <w:t xml:space="preserve">“Longitudinal Effects through the Youth Life Course: Exploring the Effects of Classroom and Neighborhood Poverty and Summer Learning Loss.” Society for Research on Educational Effectiveness. Washington, DC. March 5, 2015. Session Organizer and Chair. </w:t>
      </w:r>
    </w:p>
    <w:p w14:paraId="7E1DD25F" w14:textId="77777777" w:rsidR="004377D7" w:rsidRDefault="004377D7" w:rsidP="004377D7">
      <w:pPr>
        <w:pStyle w:val="VitaPub"/>
        <w:ind w:left="990" w:hanging="630"/>
      </w:pPr>
      <w:r>
        <w:t>“The Effects of School Poverty on Achievement: Replications and Extensions.” Society for Research on Educational Effectiveness. Washington, DC. March 5, 2015. (</w:t>
      </w:r>
      <w:proofErr w:type="gramStart"/>
      <w:r>
        <w:t>coauthored</w:t>
      </w:r>
      <w:proofErr w:type="gramEnd"/>
      <w:r>
        <w:t xml:space="preserve"> paper presented by Bill Carbonaro)</w:t>
      </w:r>
    </w:p>
    <w:p w14:paraId="591C80A5" w14:textId="77777777" w:rsidR="004377D7" w:rsidRDefault="004377D7" w:rsidP="004377D7">
      <w:pPr>
        <w:pStyle w:val="VitaPub"/>
        <w:ind w:left="990" w:hanging="630"/>
      </w:pPr>
      <w:r>
        <w:t>“The Effects of School Poverty on Achievement: Replications and Extensions.” Sociology of Education Association. Monterey, CA. February 22, 2015. (</w:t>
      </w:r>
      <w:proofErr w:type="gramStart"/>
      <w:r>
        <w:t>coauthored</w:t>
      </w:r>
      <w:proofErr w:type="gramEnd"/>
      <w:r>
        <w:t xml:space="preserve"> paper presented by Bill Carbonaro)</w:t>
      </w:r>
    </w:p>
    <w:p w14:paraId="358016C7" w14:textId="77777777" w:rsidR="004377D7" w:rsidRDefault="004377D7" w:rsidP="004377D7">
      <w:pPr>
        <w:pStyle w:val="VitaPub"/>
        <w:ind w:left="990" w:hanging="630"/>
      </w:pPr>
      <w:r>
        <w:t xml:space="preserve">“Assessing the Effects of the Great Recession on the Teacher Labor Market.” Association of Policy Analysis and Management. Albuquerque, NM. </w:t>
      </w:r>
      <w:proofErr w:type="gramStart"/>
      <w:r>
        <w:t>November,</w:t>
      </w:r>
      <w:proofErr w:type="gramEnd"/>
      <w:r>
        <w:t xml:space="preserve"> 8, 2014. Discussant. </w:t>
      </w:r>
    </w:p>
    <w:p w14:paraId="0DF6AC29" w14:textId="77777777" w:rsidR="004377D7" w:rsidRDefault="004377D7" w:rsidP="004377D7">
      <w:pPr>
        <w:pStyle w:val="VitaPub"/>
        <w:ind w:left="990" w:hanging="630"/>
      </w:pPr>
      <w:r>
        <w:t xml:space="preserve">“The Production of Academic Achievement: Family Background, Peers, and Teacher Skill.” University of North Carolina Sociology Departmental Colloquium, Chapel Hill, NC, April 16, 2014. </w:t>
      </w:r>
    </w:p>
    <w:p w14:paraId="4B374888" w14:textId="77777777" w:rsidR="004377D7" w:rsidRDefault="004377D7" w:rsidP="004377D7">
      <w:pPr>
        <w:pStyle w:val="VitaPub"/>
        <w:ind w:left="990" w:hanging="630"/>
      </w:pPr>
      <w:r>
        <w:t xml:space="preserve">“The Impact of Early Colleges: Results from a Quasi-Experimental Analysis.” Society of Research on Educational Effectiveness. Washington, DC, March 7, 2014. </w:t>
      </w:r>
    </w:p>
    <w:p w14:paraId="22E6669F" w14:textId="77777777" w:rsidR="004377D7" w:rsidRDefault="004377D7" w:rsidP="004377D7">
      <w:pPr>
        <w:pStyle w:val="VitaPub"/>
        <w:ind w:left="990" w:hanging="630"/>
      </w:pPr>
      <w:r>
        <w:t xml:space="preserve">“Specialized Programs to Improve Academic Outcomes for Disadvantaged Youth.” Society of Research on Educational Effectiveness. Washington, DC, March 6, 2014. Chair/Discussant. </w:t>
      </w:r>
    </w:p>
    <w:p w14:paraId="7BFB93BC" w14:textId="77777777" w:rsidR="004377D7" w:rsidRDefault="004377D7" w:rsidP="004377D7">
      <w:pPr>
        <w:pStyle w:val="VitaPub"/>
        <w:ind w:left="990" w:hanging="630"/>
      </w:pPr>
      <w:r>
        <w:t xml:space="preserve">“The Distribution of Teacher Value-Added in North Carolina.” Briefing for the North Carolina State Board of Education, Raleigh, NC, March 5, 2014. </w:t>
      </w:r>
    </w:p>
    <w:p w14:paraId="7DA4B648" w14:textId="6BDF01CB" w:rsidR="004833BE" w:rsidRDefault="004377D7" w:rsidP="004377D7">
      <w:pPr>
        <w:pStyle w:val="VitaPub"/>
        <w:ind w:left="990" w:hanging="630"/>
      </w:pPr>
      <w:r>
        <w:t xml:space="preserve">“Causal Inference in Sixty Minutes.” Guest lecture in University of North Carolina Sociology department’s Ph.D. seminar in sociological methods, Chapel Hill, NC, February 12, 2014. </w:t>
      </w:r>
    </w:p>
    <w:p w14:paraId="4CA2548A" w14:textId="419EF9F2" w:rsidR="004377D7" w:rsidRDefault="004377D7" w:rsidP="004377D7">
      <w:pPr>
        <w:pStyle w:val="VitaHead"/>
      </w:pPr>
      <w:r w:rsidRPr="002321C5">
        <w:t>Teaching</w:t>
      </w:r>
      <w:r w:rsidR="001D1143">
        <w:t xml:space="preserve"> and Supervision</w:t>
      </w:r>
    </w:p>
    <w:p w14:paraId="15C2FC41" w14:textId="338569B2" w:rsidR="001D1143" w:rsidRPr="001D1143" w:rsidRDefault="001D1143" w:rsidP="009445D3">
      <w:pPr>
        <w:pStyle w:val="aasectionsub"/>
      </w:pPr>
      <w:r w:rsidRPr="001D1143">
        <w:t>Courses Taught</w:t>
      </w:r>
    </w:p>
    <w:p w14:paraId="0A9206CE" w14:textId="60822ACA" w:rsidR="004377D7" w:rsidRDefault="004377D7" w:rsidP="001D1143">
      <w:pPr>
        <w:pStyle w:val="VitaPub"/>
        <w:ind w:left="990" w:hanging="270"/>
      </w:pPr>
      <w:r>
        <w:tab/>
        <w:t>Ph.D. seminar on causal inference and research design</w:t>
      </w:r>
      <w:r w:rsidR="004833BE">
        <w:t xml:space="preserve"> (801)</w:t>
      </w:r>
      <w:r>
        <w:t>, a Ph.D. seminar on education policy research</w:t>
      </w:r>
      <w:r w:rsidR="004833BE">
        <w:t xml:space="preserve"> (830)</w:t>
      </w:r>
      <w:r>
        <w:t>, quantitative analysis for undergraduates</w:t>
      </w:r>
      <w:r w:rsidR="004833BE">
        <w:t xml:space="preserve"> (460H)</w:t>
      </w:r>
      <w:r>
        <w:t>, an undergraduate course on education policy</w:t>
      </w:r>
      <w:r w:rsidR="004833BE">
        <w:t xml:space="preserve"> (530)</w:t>
      </w:r>
      <w:r>
        <w:t xml:space="preserve">, </w:t>
      </w:r>
      <w:proofErr w:type="gramStart"/>
      <w:r>
        <w:t>an</w:t>
      </w:r>
      <w:proofErr w:type="gramEnd"/>
      <w:r>
        <w:t xml:space="preserve"> freshman seminar in school reform</w:t>
      </w:r>
      <w:r w:rsidR="004833BE">
        <w:t xml:space="preserve"> (85)</w:t>
      </w:r>
      <w:r>
        <w:t>, and a</w:t>
      </w:r>
      <w:r w:rsidR="004833BE">
        <w:t xml:space="preserve"> small research lab / independent study on charter school research for graduate and undergraduate students</w:t>
      </w:r>
      <w:r>
        <w:t xml:space="preserve">. </w:t>
      </w:r>
    </w:p>
    <w:tbl>
      <w:tblPr>
        <w:tblW w:w="8260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1190"/>
        <w:gridCol w:w="700"/>
        <w:gridCol w:w="990"/>
        <w:gridCol w:w="4050"/>
        <w:gridCol w:w="1330"/>
      </w:tblGrid>
      <w:tr w:rsidR="004377D7" w:rsidRPr="00FF0B3D" w14:paraId="5595B8E7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BCA0E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b/>
                <w:bCs/>
                <w:color w:val="000000"/>
                <w:sz w:val="22"/>
                <w:szCs w:val="24"/>
              </w:rPr>
              <w:lastRenderedPageBreak/>
              <w:t>Term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33DED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b/>
                <w:bCs/>
                <w:color w:val="000000"/>
                <w:sz w:val="22"/>
                <w:szCs w:val="24"/>
              </w:rPr>
              <w:t>Year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B6179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b/>
                <w:bCs/>
                <w:color w:val="000000"/>
                <w:sz w:val="22"/>
                <w:szCs w:val="24"/>
              </w:rPr>
              <w:t>Course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73787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b/>
                <w:bCs/>
                <w:color w:val="000000"/>
                <w:sz w:val="22"/>
                <w:szCs w:val="24"/>
              </w:rPr>
              <w:t>Title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9DDFB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b/>
                <w:bCs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b/>
                <w:bCs/>
                <w:color w:val="000000"/>
                <w:sz w:val="22"/>
                <w:szCs w:val="24"/>
              </w:rPr>
              <w:t>Enrollment</w:t>
            </w:r>
          </w:p>
        </w:tc>
      </w:tr>
      <w:tr w:rsidR="004377D7" w:rsidRPr="00FF0B3D" w14:paraId="187AFA91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6423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Spring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73FA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E89A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530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5148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Educational Problems and Policy Solutions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223B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27</w:t>
            </w:r>
          </w:p>
        </w:tc>
      </w:tr>
      <w:tr w:rsidR="004377D7" w:rsidRPr="00FF0B3D" w14:paraId="754A9FB6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EB4AF1" w14:textId="77777777" w:rsidR="004377D7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Spring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A6D738" w14:textId="77777777" w:rsidR="004377D7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9B46C1" w14:textId="77777777" w:rsidR="004377D7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395/994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F6118F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Charter School Research Lab (IND Study)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0C84AC" w14:textId="77777777" w:rsidR="004377D7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3</w:t>
            </w:r>
          </w:p>
        </w:tc>
      </w:tr>
      <w:tr w:rsidR="004377D7" w:rsidRPr="00FF0B3D" w14:paraId="0D549A71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DDF22B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 xml:space="preserve">Fall 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A02893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4157C8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801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D17F54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Design of Policy Research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0E941B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10</w:t>
            </w:r>
          </w:p>
        </w:tc>
      </w:tr>
      <w:tr w:rsidR="004377D7" w:rsidRPr="00FF0B3D" w14:paraId="53291689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5913C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15668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CA2AF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9E851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Reforming America's Schools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255F9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24</w:t>
            </w:r>
          </w:p>
        </w:tc>
      </w:tr>
      <w:tr w:rsidR="004377D7" w:rsidRPr="00FF0B3D" w14:paraId="675426A2" w14:textId="77777777" w:rsidTr="0098143A">
        <w:trPr>
          <w:trHeight w:val="320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60F4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Spring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7303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3C64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460H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9D60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Quantitative Methods for Public Policy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591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23</w:t>
            </w:r>
          </w:p>
        </w:tc>
      </w:tr>
      <w:tr w:rsidR="004377D7" w:rsidRPr="00FF0B3D" w14:paraId="5F50D950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18A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Spring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0910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AB1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530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14C4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Educational Problems and Policy Solutions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5C3A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28</w:t>
            </w:r>
          </w:p>
        </w:tc>
      </w:tr>
      <w:tr w:rsidR="004377D7" w:rsidRPr="00FF0B3D" w14:paraId="4D60F810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DAD67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20C02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560F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460H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9532A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Quantitative Methods for Public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86AAB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</w:t>
            </w:r>
          </w:p>
        </w:tc>
      </w:tr>
      <w:tr w:rsidR="004377D7" w:rsidRPr="00FF0B3D" w14:paraId="759A7B3D" w14:textId="77777777" w:rsidTr="0098143A">
        <w:trPr>
          <w:trHeight w:val="320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64C4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Spring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CB6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0CDD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85H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3D5A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Reforming America's Schools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489D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22</w:t>
            </w:r>
          </w:p>
        </w:tc>
      </w:tr>
      <w:tr w:rsidR="004377D7" w:rsidRPr="00FF0B3D" w14:paraId="2C02DDA8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B996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Spring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505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F61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830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A88F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Seminar in Education Policy Research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31E5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6</w:t>
            </w:r>
          </w:p>
        </w:tc>
      </w:tr>
      <w:tr w:rsidR="004377D7" w:rsidRPr="00FF0B3D" w14:paraId="61438AA8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E4A1B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99A5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201</w:t>
            </w:r>
            <w:r>
              <w:rPr>
                <w:rFonts w:ascii="Times" w:hAnsi="Times" w:cs="Calibri"/>
                <w:color w:val="000000"/>
                <w:sz w:val="22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C0C62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530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3E357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Educational Problems and Policy Solutions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57558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>
              <w:rPr>
                <w:rFonts w:ascii="Times" w:hAnsi="Times" w:cs="Calibri"/>
                <w:color w:val="000000"/>
                <w:sz w:val="22"/>
                <w:szCs w:val="24"/>
              </w:rPr>
              <w:t>35</w:t>
            </w:r>
          </w:p>
        </w:tc>
      </w:tr>
      <w:tr w:rsidR="004377D7" w:rsidRPr="00FF0B3D" w14:paraId="2AE1965B" w14:textId="77777777" w:rsidTr="0098143A">
        <w:trPr>
          <w:trHeight w:val="320"/>
        </w:trPr>
        <w:tc>
          <w:tcPr>
            <w:tcW w:w="1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3920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Spring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889F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0951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85H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1BD3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Reforming America's Schools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5EB8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</w:t>
            </w:r>
            <w:r>
              <w:rPr>
                <w:rFonts w:ascii="Times" w:hAnsi="Times" w:cs="Calibri"/>
                <w:color w:val="000000"/>
                <w:sz w:val="22"/>
                <w:szCs w:val="24"/>
              </w:rPr>
              <w:t>1</w:t>
            </w:r>
          </w:p>
        </w:tc>
      </w:tr>
      <w:tr w:rsidR="004377D7" w:rsidRPr="00FF0B3D" w14:paraId="5CA58F17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1EEE9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2FEC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62AF5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801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AB1A7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Design of Policy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E1EEF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9</w:t>
            </w:r>
          </w:p>
        </w:tc>
      </w:tr>
      <w:tr w:rsidR="004377D7" w:rsidRPr="00FF0B3D" w14:paraId="452C4558" w14:textId="77777777" w:rsidTr="0098143A">
        <w:trPr>
          <w:trHeight w:val="320"/>
        </w:trPr>
        <w:tc>
          <w:tcPr>
            <w:tcW w:w="1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3E25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Spring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F4A7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4AA9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460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24BD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Quantitative Methods for Public Policy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3D81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68</w:t>
            </w:r>
          </w:p>
        </w:tc>
      </w:tr>
      <w:tr w:rsidR="004377D7" w:rsidRPr="00FF0B3D" w14:paraId="2A11F2FC" w14:textId="77777777" w:rsidTr="0098143A">
        <w:trPr>
          <w:trHeight w:val="320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25BF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Fall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DF5FD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2D070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801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3373F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Design of Policy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4E90" w14:textId="77777777" w:rsidR="004377D7" w:rsidRPr="00FF0B3D" w:rsidRDefault="004377D7" w:rsidP="0098143A">
            <w:pPr>
              <w:jc w:val="center"/>
              <w:rPr>
                <w:rFonts w:ascii="Times" w:hAnsi="Times" w:cs="Calibri"/>
                <w:color w:val="000000"/>
                <w:sz w:val="22"/>
                <w:szCs w:val="24"/>
              </w:rPr>
            </w:pPr>
            <w:r w:rsidRPr="00FF0B3D">
              <w:rPr>
                <w:rFonts w:ascii="Times" w:hAnsi="Times" w:cs="Calibri"/>
                <w:color w:val="000000"/>
                <w:sz w:val="22"/>
                <w:szCs w:val="24"/>
              </w:rPr>
              <w:t>10</w:t>
            </w:r>
          </w:p>
        </w:tc>
      </w:tr>
    </w:tbl>
    <w:p w14:paraId="5199E029" w14:textId="6A755D1C" w:rsidR="004377D7" w:rsidRDefault="004377D7" w:rsidP="009445D3">
      <w:pPr>
        <w:pStyle w:val="aasectionsub"/>
      </w:pPr>
      <w:r w:rsidRPr="002321C5">
        <w:t>Doctoral</w:t>
      </w:r>
      <w:r>
        <w:t xml:space="preserve"> Theses </w:t>
      </w:r>
    </w:p>
    <w:p w14:paraId="20B8651B" w14:textId="77777777" w:rsidR="00A910E7" w:rsidRPr="00E27ACC" w:rsidRDefault="00A910E7" w:rsidP="00A910E7">
      <w:pPr>
        <w:ind w:left="990"/>
        <w:rPr>
          <w:sz w:val="24"/>
        </w:rPr>
      </w:pPr>
      <w:r w:rsidRPr="00E27ACC">
        <w:rPr>
          <w:sz w:val="24"/>
        </w:rPr>
        <w:t>Joshua Horvath (Economics), 2018</w:t>
      </w:r>
    </w:p>
    <w:p w14:paraId="570689A2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>Brian Levy (Sociology), 2017</w:t>
      </w:r>
    </w:p>
    <w:p w14:paraId="1D2F978D" w14:textId="77777777" w:rsidR="00A910E7" w:rsidRPr="00E27ACC" w:rsidRDefault="00A910E7" w:rsidP="00A910E7">
      <w:pPr>
        <w:ind w:left="990"/>
        <w:rPr>
          <w:sz w:val="24"/>
        </w:rPr>
      </w:pPr>
      <w:r w:rsidRPr="00E27ACC">
        <w:rPr>
          <w:sz w:val="24"/>
        </w:rPr>
        <w:t>Lisa Spees</w:t>
      </w:r>
      <w:r>
        <w:rPr>
          <w:sz w:val="24"/>
        </w:rPr>
        <w:t xml:space="preserve"> (Public Policy)</w:t>
      </w:r>
      <w:r w:rsidRPr="00E27ACC">
        <w:rPr>
          <w:sz w:val="24"/>
        </w:rPr>
        <w:t>, 2016</w:t>
      </w:r>
    </w:p>
    <w:p w14:paraId="30DB0097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>Kari Kozlowski (Sociology), 2016</w:t>
      </w:r>
    </w:p>
    <w:p w14:paraId="36B2FECC" w14:textId="77777777" w:rsidR="00A910E7" w:rsidRPr="00E27ACC" w:rsidRDefault="00A910E7" w:rsidP="00A910E7">
      <w:pPr>
        <w:ind w:left="990"/>
        <w:rPr>
          <w:sz w:val="24"/>
        </w:rPr>
      </w:pPr>
      <w:r w:rsidRPr="00E27ACC">
        <w:rPr>
          <w:sz w:val="24"/>
        </w:rPr>
        <w:t>Shanyce Campbell (Public Policy), 2014</w:t>
      </w:r>
    </w:p>
    <w:p w14:paraId="5CB27A8B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>Michael Gaddis (Sociology), 2013 (Co-Chair)</w:t>
      </w:r>
    </w:p>
    <w:p w14:paraId="0ACD78DB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>Kevin Bastian (Public Policy), 2013</w:t>
      </w:r>
    </w:p>
    <w:p w14:paraId="07A210AD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 xml:space="preserve">Stephanie </w:t>
      </w:r>
      <w:proofErr w:type="spellStart"/>
      <w:r w:rsidRPr="00E27ACC">
        <w:rPr>
          <w:sz w:val="24"/>
        </w:rPr>
        <w:t>Potochnick</w:t>
      </w:r>
      <w:proofErr w:type="spellEnd"/>
      <w:r w:rsidRPr="00E27ACC">
        <w:rPr>
          <w:sz w:val="24"/>
        </w:rPr>
        <w:t>, (Public Policy), 2012</w:t>
      </w:r>
    </w:p>
    <w:p w14:paraId="6F666947" w14:textId="77777777" w:rsidR="004377D7" w:rsidRPr="00E27ACC" w:rsidRDefault="004377D7" w:rsidP="001D1143">
      <w:pPr>
        <w:ind w:left="990"/>
        <w:rPr>
          <w:sz w:val="24"/>
        </w:rPr>
      </w:pPr>
      <w:r w:rsidRPr="00E27ACC">
        <w:rPr>
          <w:sz w:val="24"/>
        </w:rPr>
        <w:t>Maarja Soo, (Public Policy), 2008</w:t>
      </w:r>
    </w:p>
    <w:p w14:paraId="46E1BDFB" w14:textId="48E04FB6" w:rsidR="004377D7" w:rsidRDefault="004377D7" w:rsidP="009445D3">
      <w:pPr>
        <w:pStyle w:val="aasectionsub"/>
      </w:pPr>
      <w:r w:rsidRPr="002321C5">
        <w:t>Honors</w:t>
      </w:r>
      <w:r>
        <w:t xml:space="preserve"> Theses </w:t>
      </w:r>
    </w:p>
    <w:p w14:paraId="5D422351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John Roberson, 2018-2019</w:t>
      </w:r>
    </w:p>
    <w:p w14:paraId="4D51D229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Beth Clifford, 2018-2019</w:t>
      </w:r>
    </w:p>
    <w:p w14:paraId="56F852C6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Geoffrey McGee 2017-2018</w:t>
      </w:r>
    </w:p>
    <w:p w14:paraId="0F8C54A4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Kate Mathews 2014-2015</w:t>
      </w:r>
    </w:p>
    <w:p w14:paraId="1597E1D6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George Ramsay 2014-2015</w:t>
      </w:r>
    </w:p>
    <w:p w14:paraId="7EBF8270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Michael Little 2012-2013 (best thesis award)</w:t>
      </w:r>
    </w:p>
    <w:p w14:paraId="13FC0FA1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Grayson Cooper 2011-2012</w:t>
      </w:r>
    </w:p>
    <w:p w14:paraId="6BB6572C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Rachel Arnett 2010-2011</w:t>
      </w:r>
    </w:p>
    <w:p w14:paraId="1BF35BDA" w14:textId="29D20402" w:rsidR="001D1143" w:rsidRPr="00180E3E" w:rsidRDefault="004377D7" w:rsidP="00180E3E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Jennifer Barry 2006-2007</w:t>
      </w:r>
    </w:p>
    <w:p w14:paraId="6ED7BBD8" w14:textId="0CB1D7EF" w:rsidR="004377D7" w:rsidRPr="002321C5" w:rsidRDefault="004377D7" w:rsidP="009445D3">
      <w:pPr>
        <w:pStyle w:val="aasectionsub"/>
      </w:pPr>
      <w:r w:rsidRPr="002321C5">
        <w:t>Graduate Student Research Assistants</w:t>
      </w:r>
      <w:r w:rsidR="00041F9C">
        <w:t xml:space="preserve"> (paid and unpaid)</w:t>
      </w:r>
    </w:p>
    <w:p w14:paraId="5471DF24" w14:textId="4A25BF41" w:rsidR="00822CE9" w:rsidRDefault="00822CE9" w:rsidP="001D1143">
      <w:pPr>
        <w:ind w:left="990"/>
        <w:rPr>
          <w:sz w:val="24"/>
          <w:szCs w:val="24"/>
        </w:rPr>
      </w:pPr>
      <w:r>
        <w:rPr>
          <w:sz w:val="24"/>
          <w:szCs w:val="24"/>
        </w:rPr>
        <w:t>Kyle Abbott, (Public Policy), 2019 -</w:t>
      </w:r>
    </w:p>
    <w:p w14:paraId="654E376A" w14:textId="4F503E46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 xml:space="preserve">Tom Swiderski, (Public Policy), 2017 - </w:t>
      </w:r>
    </w:p>
    <w:p w14:paraId="04B0D7B8" w14:textId="77777777" w:rsidR="004377D7" w:rsidRPr="00E27ACC" w:rsidRDefault="004377D7" w:rsidP="001D1143">
      <w:pPr>
        <w:ind w:left="990"/>
        <w:rPr>
          <w:sz w:val="24"/>
          <w:szCs w:val="24"/>
        </w:rPr>
      </w:pPr>
      <w:proofErr w:type="spellStart"/>
      <w:r w:rsidRPr="00E27ACC">
        <w:rPr>
          <w:sz w:val="24"/>
          <w:szCs w:val="24"/>
        </w:rPr>
        <w:t>Elc</w:t>
      </w:r>
      <w:proofErr w:type="spellEnd"/>
      <w:r w:rsidRPr="00E27ACC">
        <w:rPr>
          <w:sz w:val="24"/>
          <w:szCs w:val="24"/>
        </w:rPr>
        <w:t xml:space="preserve"> </w:t>
      </w:r>
      <w:proofErr w:type="spellStart"/>
      <w:r w:rsidRPr="00E27ACC">
        <w:rPr>
          <w:sz w:val="24"/>
          <w:szCs w:val="24"/>
        </w:rPr>
        <w:t>Estrera</w:t>
      </w:r>
      <w:proofErr w:type="spellEnd"/>
      <w:r w:rsidRPr="00E27ACC">
        <w:rPr>
          <w:sz w:val="24"/>
          <w:szCs w:val="24"/>
        </w:rPr>
        <w:t xml:space="preserve">, (Public Policy) 2016 - </w:t>
      </w:r>
    </w:p>
    <w:p w14:paraId="5800AFEF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lastRenderedPageBreak/>
        <w:t xml:space="preserve">Anna </w:t>
      </w:r>
      <w:proofErr w:type="spellStart"/>
      <w:r w:rsidRPr="00E27ACC">
        <w:rPr>
          <w:sz w:val="24"/>
          <w:szCs w:val="24"/>
        </w:rPr>
        <w:t>Rybinska</w:t>
      </w:r>
      <w:proofErr w:type="spellEnd"/>
      <w:r w:rsidRPr="00E27ACC">
        <w:rPr>
          <w:sz w:val="24"/>
          <w:szCs w:val="24"/>
        </w:rPr>
        <w:t xml:space="preserve"> (Sociology) 2015-2016</w:t>
      </w:r>
    </w:p>
    <w:p w14:paraId="09EFDD96" w14:textId="77777777" w:rsidR="00822CE9" w:rsidRPr="00E27ACC" w:rsidRDefault="00822CE9" w:rsidP="00822CE9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 xml:space="preserve">Ludmila </w:t>
      </w:r>
      <w:proofErr w:type="spellStart"/>
      <w:r w:rsidRPr="00E27ACC">
        <w:rPr>
          <w:sz w:val="24"/>
          <w:szCs w:val="24"/>
        </w:rPr>
        <w:t>Janda</w:t>
      </w:r>
      <w:proofErr w:type="spellEnd"/>
      <w:r w:rsidRPr="00E27ACC">
        <w:rPr>
          <w:sz w:val="24"/>
          <w:szCs w:val="24"/>
        </w:rPr>
        <w:t xml:space="preserve"> (Public Policy) 2014-2017</w:t>
      </w:r>
    </w:p>
    <w:p w14:paraId="603FE547" w14:textId="77777777" w:rsidR="00822CE9" w:rsidRPr="00E27ACC" w:rsidRDefault="00822CE9" w:rsidP="00822CE9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Kyle Shaffer (SILS) 2014-2015</w:t>
      </w:r>
    </w:p>
    <w:p w14:paraId="2D6A3CC4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Nicole Ross (Public Policy), 2013-2014</w:t>
      </w:r>
    </w:p>
    <w:p w14:paraId="5FA9F5FB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Riha Vaidya (Economics), 2012-2013</w:t>
      </w:r>
    </w:p>
    <w:p w14:paraId="164E82AA" w14:textId="77777777" w:rsidR="004377D7" w:rsidRPr="00E27ACC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Casey Megan (Public Policy), 2011-2012</w:t>
      </w:r>
    </w:p>
    <w:p w14:paraId="3337DC7B" w14:textId="39A8CA43" w:rsidR="004377D7" w:rsidRPr="00285270" w:rsidRDefault="004377D7" w:rsidP="001D1143">
      <w:pPr>
        <w:ind w:left="990"/>
        <w:rPr>
          <w:sz w:val="24"/>
          <w:szCs w:val="24"/>
        </w:rPr>
      </w:pPr>
      <w:r w:rsidRPr="00E27ACC">
        <w:rPr>
          <w:sz w:val="24"/>
          <w:szCs w:val="24"/>
        </w:rPr>
        <w:t>Charlotte Agger (Education), 2011-2012</w:t>
      </w:r>
    </w:p>
    <w:p w14:paraId="57017596" w14:textId="6159BC7E" w:rsidR="009046C2" w:rsidRPr="00E6550D" w:rsidRDefault="009046C2" w:rsidP="009046C2">
      <w:pPr>
        <w:pStyle w:val="VitaHead"/>
      </w:pPr>
      <w:r>
        <w:t>Grants</w:t>
      </w:r>
    </w:p>
    <w:p w14:paraId="2AC5CEE9" w14:textId="20B34C6E" w:rsidR="007129CE" w:rsidRPr="001D1143" w:rsidRDefault="007129CE" w:rsidP="009445D3">
      <w:pPr>
        <w:pStyle w:val="aasectionsub"/>
      </w:pPr>
      <w:r w:rsidRPr="001D1143">
        <w:t>External</w:t>
      </w:r>
    </w:p>
    <w:p w14:paraId="48748E03" w14:textId="054812B9" w:rsidR="00146850" w:rsidRDefault="00ED7BFB" w:rsidP="00146850">
      <w:pPr>
        <w:widowControl w:val="0"/>
        <w:autoSpaceDE w:val="0"/>
        <w:autoSpaceDN w:val="0"/>
        <w:adjustRightInd w:val="0"/>
        <w:spacing w:after="240"/>
        <w:ind w:left="720" w:hanging="360"/>
        <w:rPr>
          <w:sz w:val="24"/>
        </w:rPr>
      </w:pPr>
      <w:r>
        <w:rPr>
          <w:sz w:val="24"/>
          <w:szCs w:val="24"/>
        </w:rPr>
        <w:t>Co-Principal Investigator,</w:t>
      </w:r>
      <w:r w:rsidR="00CB1706">
        <w:rPr>
          <w:sz w:val="24"/>
          <w:szCs w:val="24"/>
        </w:rPr>
        <w:t xml:space="preserve"> “</w:t>
      </w:r>
      <w:r w:rsidR="00CB1706">
        <w:rPr>
          <w:rFonts w:ascii="TimesNewRomanPSMT" w:hAnsi="TimesNewRomanPSMT" w:cs="TimesNewRomanPSMT"/>
          <w:sz w:val="24"/>
          <w:szCs w:val="24"/>
        </w:rPr>
        <w:t xml:space="preserve">Using Longitudinal Data to Support State Education Recovery Policymaking,” $988,118, </w:t>
      </w:r>
      <w:r w:rsidR="00CB1706" w:rsidRPr="003B38A4">
        <w:rPr>
          <w:sz w:val="24"/>
        </w:rPr>
        <w:t xml:space="preserve">U.S. Department of Education, Institute of Education Sciences, </w:t>
      </w:r>
      <w:r w:rsidR="00CB1706">
        <w:rPr>
          <w:bCs/>
          <w:noProof/>
          <w:sz w:val="24"/>
          <w:szCs w:val="24"/>
        </w:rPr>
        <w:t>2/1/2021 – 1/31/2024</w:t>
      </w:r>
      <w:r w:rsidR="008F6D7D">
        <w:rPr>
          <w:sz w:val="24"/>
        </w:rPr>
        <w:t xml:space="preserve">, 22% effort. </w:t>
      </w:r>
    </w:p>
    <w:p w14:paraId="7F8F56C2" w14:textId="24F3A5EB" w:rsidR="00CB1706" w:rsidRDefault="00146850" w:rsidP="00864D5C">
      <w:pPr>
        <w:widowControl w:val="0"/>
        <w:autoSpaceDE w:val="0"/>
        <w:autoSpaceDN w:val="0"/>
        <w:adjustRightInd w:val="0"/>
        <w:spacing w:after="240"/>
        <w:ind w:left="720" w:hanging="360"/>
        <w:rPr>
          <w:sz w:val="24"/>
          <w:szCs w:val="24"/>
        </w:rPr>
      </w:pPr>
      <w:r>
        <w:rPr>
          <w:bCs/>
          <w:iCs/>
          <w:sz w:val="24"/>
          <w:szCs w:val="24"/>
        </w:rPr>
        <w:t>Principal Investigator, “</w:t>
      </w:r>
      <w:r w:rsidRPr="00146850">
        <w:rPr>
          <w:bCs/>
          <w:iCs/>
          <w:sz w:val="24"/>
          <w:szCs w:val="24"/>
        </w:rPr>
        <w:t>New Home, Same Education: Does enrolling in a charter school reduce the educational costs of residential mobility?</w:t>
      </w:r>
      <w:r>
        <w:rPr>
          <w:bCs/>
          <w:iCs/>
          <w:sz w:val="24"/>
          <w:szCs w:val="24"/>
        </w:rPr>
        <w:t xml:space="preserve">” Fordham </w:t>
      </w:r>
      <w:r w:rsidR="00713377">
        <w:rPr>
          <w:bCs/>
          <w:iCs/>
          <w:sz w:val="24"/>
          <w:szCs w:val="24"/>
        </w:rPr>
        <w:t>Foundation</w:t>
      </w:r>
      <w:r>
        <w:rPr>
          <w:bCs/>
          <w:iCs/>
          <w:sz w:val="24"/>
          <w:szCs w:val="24"/>
        </w:rPr>
        <w:t>, $80,000,</w:t>
      </w:r>
      <w:r w:rsidR="00713377">
        <w:rPr>
          <w:bCs/>
          <w:iCs/>
          <w:sz w:val="24"/>
          <w:szCs w:val="24"/>
        </w:rPr>
        <w:t xml:space="preserve"> 1/1/2022-8/31/23</w:t>
      </w:r>
      <w:r w:rsidR="007334D7">
        <w:rPr>
          <w:bCs/>
          <w:iCs/>
          <w:sz w:val="24"/>
          <w:szCs w:val="24"/>
        </w:rPr>
        <w:t xml:space="preserve">, 27% effort. </w:t>
      </w:r>
    </w:p>
    <w:p w14:paraId="0A9010CA" w14:textId="57D4F1D9" w:rsidR="00864D5C" w:rsidRPr="00E4215E" w:rsidRDefault="00864D5C" w:rsidP="00864D5C">
      <w:pPr>
        <w:widowControl w:val="0"/>
        <w:autoSpaceDE w:val="0"/>
        <w:autoSpaceDN w:val="0"/>
        <w:adjustRightInd w:val="0"/>
        <w:spacing w:after="240"/>
        <w:ind w:left="720" w:hanging="360"/>
        <w:rPr>
          <w:sz w:val="24"/>
          <w:szCs w:val="24"/>
        </w:rPr>
      </w:pPr>
      <w:r w:rsidRPr="00E4215E">
        <w:rPr>
          <w:sz w:val="24"/>
          <w:szCs w:val="24"/>
        </w:rPr>
        <w:t>Principal Investigator, “Exclusionary School Discipline and Adult Conviction: An Exploratory Study,” $49,940, Spenc</w:t>
      </w:r>
      <w:r>
        <w:rPr>
          <w:sz w:val="24"/>
          <w:szCs w:val="24"/>
        </w:rPr>
        <w:t xml:space="preserve">er Foundation, 1/1/19-12/31/19, </w:t>
      </w:r>
      <w:r w:rsidR="00476C56">
        <w:rPr>
          <w:sz w:val="24"/>
          <w:szCs w:val="24"/>
        </w:rPr>
        <w:t>9</w:t>
      </w:r>
      <w:r>
        <w:rPr>
          <w:sz w:val="24"/>
          <w:szCs w:val="24"/>
        </w:rPr>
        <w:t xml:space="preserve">% effort. </w:t>
      </w:r>
    </w:p>
    <w:p w14:paraId="3ACBFF0F" w14:textId="37E2007F" w:rsidR="00E4215E" w:rsidRDefault="006A7D91" w:rsidP="00E4215E">
      <w:pPr>
        <w:widowControl w:val="0"/>
        <w:autoSpaceDE w:val="0"/>
        <w:autoSpaceDN w:val="0"/>
        <w:adjustRightInd w:val="0"/>
        <w:spacing w:after="240"/>
        <w:ind w:left="720" w:hanging="360"/>
        <w:rPr>
          <w:sz w:val="24"/>
        </w:rPr>
      </w:pPr>
      <w:r>
        <w:rPr>
          <w:sz w:val="24"/>
          <w:szCs w:val="24"/>
        </w:rPr>
        <w:t xml:space="preserve">Principal Investigator, </w:t>
      </w:r>
      <w:r w:rsidR="003B38A4">
        <w:rPr>
          <w:sz w:val="24"/>
          <w:szCs w:val="24"/>
        </w:rPr>
        <w:t>“</w:t>
      </w:r>
      <w:r w:rsidRPr="003B38A4">
        <w:rPr>
          <w:sz w:val="24"/>
        </w:rPr>
        <w:t>Early College High Schools at Scale: Probing Impacts and Generalizability with a Quasi-Experiment Benchmarked Against an RCT,</w:t>
      </w:r>
      <w:r w:rsidR="003B38A4">
        <w:rPr>
          <w:sz w:val="24"/>
        </w:rPr>
        <w:t>”</w:t>
      </w:r>
      <w:r w:rsidRPr="003B38A4">
        <w:rPr>
          <w:sz w:val="24"/>
        </w:rPr>
        <w:t xml:space="preserve"> $799,886</w:t>
      </w:r>
      <w:r w:rsidR="00D50B83">
        <w:rPr>
          <w:sz w:val="24"/>
        </w:rPr>
        <w:t xml:space="preserve"> (UNC share: $509,390)</w:t>
      </w:r>
      <w:r w:rsidRPr="003B38A4">
        <w:rPr>
          <w:sz w:val="24"/>
        </w:rPr>
        <w:t xml:space="preserve">, U.S. Department of Education, Institute of Education Sciences, </w:t>
      </w:r>
      <w:r w:rsidR="00864D5C">
        <w:rPr>
          <w:sz w:val="24"/>
        </w:rPr>
        <w:t xml:space="preserve">7/1/2015-6/30/2018, 37% effort. </w:t>
      </w:r>
      <w:r w:rsidR="003B38A4" w:rsidRPr="003B38A4">
        <w:rPr>
          <w:sz w:val="24"/>
        </w:rPr>
        <w:t xml:space="preserve"> </w:t>
      </w:r>
    </w:p>
    <w:p w14:paraId="7DA72E50" w14:textId="36C91D62" w:rsidR="00A25ED6" w:rsidRDefault="00A25ED6" w:rsidP="00637081">
      <w:pPr>
        <w:widowControl w:val="0"/>
        <w:autoSpaceDE w:val="0"/>
        <w:autoSpaceDN w:val="0"/>
        <w:adjustRightInd w:val="0"/>
        <w:spacing w:after="240"/>
        <w:ind w:left="720" w:hanging="360"/>
      </w:pPr>
      <w:r w:rsidRPr="00A25ED6">
        <w:rPr>
          <w:sz w:val="24"/>
          <w:szCs w:val="24"/>
        </w:rPr>
        <w:t>Principal Investigator,</w:t>
      </w:r>
      <w:r>
        <w:t xml:space="preserve"> </w:t>
      </w:r>
      <w:r w:rsidR="00637081">
        <w:t>“</w:t>
      </w:r>
      <w:r w:rsidRPr="00A25ED6">
        <w:rPr>
          <w:rFonts w:ascii="Times" w:hAnsi="Times" w:cs="Times"/>
          <w:bCs/>
          <w:sz w:val="24"/>
          <w:szCs w:val="24"/>
        </w:rPr>
        <w:t>Probing the Effects of Classroom Poverty on Test Score Achievement: Differences Across States, Cohorts, and Low and High Standards Eras</w:t>
      </w:r>
      <w:r>
        <w:rPr>
          <w:rFonts w:ascii="Times" w:hAnsi="Times" w:cs="Times"/>
          <w:bCs/>
          <w:sz w:val="24"/>
          <w:szCs w:val="24"/>
        </w:rPr>
        <w:t>,</w:t>
      </w:r>
      <w:r w:rsidR="00637081">
        <w:rPr>
          <w:rFonts w:ascii="Times" w:hAnsi="Times" w:cs="Times"/>
          <w:bCs/>
          <w:sz w:val="24"/>
          <w:szCs w:val="24"/>
        </w:rPr>
        <w:t>”</w:t>
      </w:r>
      <w:r>
        <w:rPr>
          <w:rFonts w:ascii="Times" w:hAnsi="Times" w:cs="Times"/>
          <w:bCs/>
          <w:sz w:val="24"/>
          <w:szCs w:val="24"/>
        </w:rPr>
        <w:t xml:space="preserve"> </w:t>
      </w:r>
      <w:r w:rsidR="00637081">
        <w:rPr>
          <w:rFonts w:ascii="Times" w:hAnsi="Times" w:cs="Times"/>
          <w:bCs/>
          <w:sz w:val="24"/>
          <w:szCs w:val="24"/>
        </w:rPr>
        <w:t xml:space="preserve">$49,928, </w:t>
      </w:r>
      <w:r>
        <w:rPr>
          <w:rFonts w:ascii="Times" w:hAnsi="Times" w:cs="Times"/>
          <w:bCs/>
          <w:sz w:val="24"/>
          <w:szCs w:val="24"/>
        </w:rPr>
        <w:t>Spencer Foundation, 5/1/15-</w:t>
      </w:r>
      <w:r w:rsidR="00864D5C">
        <w:rPr>
          <w:rFonts w:ascii="Times" w:hAnsi="Times" w:cs="Times"/>
          <w:bCs/>
          <w:sz w:val="24"/>
          <w:szCs w:val="24"/>
        </w:rPr>
        <w:t xml:space="preserve">6/30/16, 16% effort. </w:t>
      </w:r>
    </w:p>
    <w:p w14:paraId="3B771E9F" w14:textId="36E2399C" w:rsidR="00556C3B" w:rsidRDefault="00556C3B" w:rsidP="00E81F5A">
      <w:pPr>
        <w:pStyle w:val="VitaPub"/>
        <w:ind w:left="990" w:hanging="630"/>
      </w:pPr>
      <w:r>
        <w:t>Co-Principal Investigator, “Examining North Carolina Charter School Effects on Short and Long Run Outcomes,” $289,</w:t>
      </w:r>
      <w:r w:rsidR="00A25ED6">
        <w:t>490</w:t>
      </w:r>
      <w:r w:rsidR="00600572">
        <w:t xml:space="preserve"> (</w:t>
      </w:r>
      <w:r w:rsidR="00D50B83">
        <w:t>UNC share: $149,323)</w:t>
      </w:r>
      <w:r w:rsidR="00A25ED6">
        <w:t>, Walton Family Foundation, 7/1/15-6/30/17</w:t>
      </w:r>
      <w:r w:rsidR="00864D5C">
        <w:t xml:space="preserve">, 16.5% effort. </w:t>
      </w:r>
    </w:p>
    <w:p w14:paraId="6E08DB79" w14:textId="60CAFCAF" w:rsidR="000771C2" w:rsidRDefault="000771C2" w:rsidP="00E81F5A">
      <w:pPr>
        <w:pStyle w:val="VitaPub"/>
        <w:ind w:left="990" w:hanging="630"/>
      </w:pPr>
      <w:r>
        <w:t>Principal Investigator, “North Carolina New Schools Evaluation,” $132,000, UNC Gene</w:t>
      </w:r>
      <w:r w:rsidR="00864D5C">
        <w:t xml:space="preserve">ral Administration, 11/12-8/13, 22.5% effort. </w:t>
      </w:r>
    </w:p>
    <w:p w14:paraId="64D8A4F2" w14:textId="53822351" w:rsidR="00E81F5A" w:rsidRDefault="00E81F5A" w:rsidP="00E81F5A">
      <w:pPr>
        <w:pStyle w:val="VitaPub"/>
        <w:ind w:left="990" w:hanging="630"/>
      </w:pPr>
      <w:r>
        <w:t>Co-Principal Investigator, “Golden LEAF STEM Statewide Evaluation,” $498,322</w:t>
      </w:r>
      <w:r w:rsidR="00F75C18">
        <w:t xml:space="preserve"> (</w:t>
      </w:r>
      <w:r w:rsidR="00D50B83">
        <w:t>UNC</w:t>
      </w:r>
      <w:r w:rsidR="00F75C18">
        <w:t xml:space="preserve"> share: $148,566)</w:t>
      </w:r>
      <w:r>
        <w:t xml:space="preserve">, </w:t>
      </w:r>
      <w:r w:rsidR="009033AA">
        <w:t xml:space="preserve">Golden LEAF Foundation, </w:t>
      </w:r>
      <w:r w:rsidR="00864D5C">
        <w:t xml:space="preserve">4/11-3/14, 11% effort. </w:t>
      </w:r>
    </w:p>
    <w:p w14:paraId="663CB8A5" w14:textId="77777777" w:rsidR="00E81F5A" w:rsidRDefault="00E81F5A" w:rsidP="00E81F5A">
      <w:pPr>
        <w:pStyle w:val="VitaPub"/>
        <w:ind w:left="990" w:hanging="630"/>
      </w:pPr>
      <w:r>
        <w:t xml:space="preserve">Co-Investigator, </w:t>
      </w:r>
      <w:r w:rsidR="009033AA">
        <w:t>“Baseline Teacher Quality Report,” $</w:t>
      </w:r>
      <w:r w:rsidR="00F75C18">
        <w:t>137,501</w:t>
      </w:r>
      <w:r w:rsidR="009033AA">
        <w:t>, North Carolina Dep</w:t>
      </w:r>
      <w:r w:rsidR="00F75C18">
        <w:t>artment of Public Instruction, 1/11-6/14</w:t>
      </w:r>
      <w:r w:rsidR="009033AA">
        <w:t>.</w:t>
      </w:r>
    </w:p>
    <w:p w14:paraId="42847EE3" w14:textId="50C9C023" w:rsidR="009033AA" w:rsidRDefault="009033AA" w:rsidP="009033AA">
      <w:pPr>
        <w:pStyle w:val="VitaPub"/>
        <w:ind w:left="990" w:hanging="630"/>
      </w:pPr>
      <w:r>
        <w:t>Co-Investigator, “Evaluation of Race to the Top Teacher Incentives,” $</w:t>
      </w:r>
      <w:r w:rsidR="00F75C18">
        <w:t>229,757</w:t>
      </w:r>
      <w:r>
        <w:t>, North Carolina Dep</w:t>
      </w:r>
      <w:r w:rsidR="00F75C18">
        <w:t>artment of Public Instruction, 1</w:t>
      </w:r>
      <w:r>
        <w:t>/1</w:t>
      </w:r>
      <w:r w:rsidR="00F75C18">
        <w:t>1-6/14</w:t>
      </w:r>
      <w:r w:rsidR="006848BE">
        <w:t xml:space="preserve">. </w:t>
      </w:r>
    </w:p>
    <w:p w14:paraId="15D37A37" w14:textId="6D794D9A" w:rsidR="00E12D22" w:rsidRDefault="009033AA" w:rsidP="00E81F5A">
      <w:pPr>
        <w:pStyle w:val="VitaPub"/>
        <w:ind w:left="990" w:hanging="630"/>
      </w:pPr>
      <w:r>
        <w:t xml:space="preserve">Principal Investigator, </w:t>
      </w:r>
      <w:r w:rsidR="00E12D22">
        <w:t xml:space="preserve">“Narrowing the Curriculum? The Effect of Accountability Pressure on Elementary Science Achievement,” $39,625, </w:t>
      </w:r>
      <w:r>
        <w:t xml:space="preserve">Spencer Foundation, </w:t>
      </w:r>
      <w:r w:rsidR="006848BE">
        <w:t>1/11-12/11.</w:t>
      </w:r>
    </w:p>
    <w:p w14:paraId="6D044C25" w14:textId="77777777" w:rsidR="00476670" w:rsidRDefault="009033AA" w:rsidP="00E81F5A">
      <w:pPr>
        <w:pStyle w:val="VitaPub"/>
        <w:ind w:left="990" w:hanging="630"/>
      </w:pPr>
      <w:r>
        <w:lastRenderedPageBreak/>
        <w:t>Principal Investigator,</w:t>
      </w:r>
      <w:r w:rsidR="00476670">
        <w:t xml:space="preserve"> “Designing a Longitudinal Tracking System to Inform Workforce Development and Educational Reform Policies in Leno</w:t>
      </w:r>
      <w:r>
        <w:t>ir County, North Carolina,” Campus Community Partnership, School of Government, University of North Carolina at Chapel Hill, $19,684, 7/15/10-6/30/11.</w:t>
      </w:r>
      <w:r w:rsidR="00476670">
        <w:t xml:space="preserve"> </w:t>
      </w:r>
    </w:p>
    <w:p w14:paraId="292DE035" w14:textId="77777777" w:rsidR="009046C2" w:rsidRDefault="009033AA" w:rsidP="00E81F5A">
      <w:pPr>
        <w:pStyle w:val="VitaPub"/>
        <w:ind w:left="990" w:hanging="630"/>
      </w:pPr>
      <w:r>
        <w:t xml:space="preserve">Co-Principal Investigator, </w:t>
      </w:r>
      <w:r w:rsidR="009046C2">
        <w:t xml:space="preserve">“The Distributional Effects of State and Federal Educational Accountability Policies,” $40,000, </w:t>
      </w:r>
      <w:r>
        <w:t xml:space="preserve">Spencer Foundation, </w:t>
      </w:r>
      <w:r w:rsidR="009046C2">
        <w:t xml:space="preserve">9/08-9/09. </w:t>
      </w:r>
    </w:p>
    <w:p w14:paraId="5FFF0C25" w14:textId="77777777" w:rsidR="009046C2" w:rsidRDefault="009046C2" w:rsidP="00E81F5A">
      <w:pPr>
        <w:pStyle w:val="VitaPub"/>
        <w:ind w:left="990" w:hanging="630"/>
      </w:pPr>
      <w:r>
        <w:t xml:space="preserve">Exemplary Dissertation Award, Spencer Foundation, “Assessing the Impact of School Socioeconomic Status on Elementary School Student Test Score Gains.” $25,000. 8/08-6/10. One of two dissertations awarded a $25,000 grant in 2008. Also received a $2,500 award as one of five finalists. </w:t>
      </w:r>
    </w:p>
    <w:p w14:paraId="04522AD5" w14:textId="595EB74C" w:rsidR="007129CE" w:rsidRPr="001D1143" w:rsidRDefault="00FE6262" w:rsidP="009445D3">
      <w:pPr>
        <w:pStyle w:val="aasectionsub"/>
      </w:pPr>
      <w:r w:rsidRPr="001D1143">
        <w:t>Internal (UNC/U Chicago</w:t>
      </w:r>
      <w:r w:rsidR="007129CE" w:rsidRPr="001D1143">
        <w:t>)</w:t>
      </w:r>
    </w:p>
    <w:p w14:paraId="4E014E17" w14:textId="77777777" w:rsidR="00FE6262" w:rsidRDefault="00FE6262" w:rsidP="00FE6262">
      <w:pPr>
        <w:pStyle w:val="VitaPub"/>
        <w:ind w:left="990" w:hanging="630"/>
      </w:pPr>
      <w:r>
        <w:t>Junior Faculty Development Award, Office of Vice Chancellor of Research, University of North Carolina at Chapel Hill, 2011. $7,500.</w:t>
      </w:r>
    </w:p>
    <w:p w14:paraId="231DBA1A" w14:textId="77777777" w:rsidR="00FE6262" w:rsidRDefault="00FE6262" w:rsidP="00FE6262">
      <w:pPr>
        <w:pStyle w:val="VitaPub"/>
        <w:ind w:left="990" w:hanging="630"/>
      </w:pPr>
      <w:r>
        <w:t xml:space="preserve">Small Grant, Office of Vice Chancellor of Research, University of North Carolina at Chapel Hill, 2010. $5,000. </w:t>
      </w:r>
    </w:p>
    <w:p w14:paraId="40F0AF85" w14:textId="77777777" w:rsidR="007129CE" w:rsidRDefault="007129CE" w:rsidP="007129CE">
      <w:pPr>
        <w:pStyle w:val="VitaPub"/>
        <w:ind w:left="990" w:hanging="630"/>
      </w:pPr>
      <w:r>
        <w:t xml:space="preserve">Small Grant, Office of Vice Chancellor of Research, University of North Carolina at Chapel Hill, 2009. $5,000. </w:t>
      </w:r>
    </w:p>
    <w:p w14:paraId="380843AA" w14:textId="77777777" w:rsidR="007129CE" w:rsidRDefault="007129CE" w:rsidP="007129CE">
      <w:pPr>
        <w:pStyle w:val="VitaPub"/>
        <w:ind w:left="990" w:hanging="630"/>
      </w:pPr>
      <w:r>
        <w:t>Small Grant, Office of Vice Chancellor of Research, University of North Carolina at Chapel Hill, 2007. $5,000.</w:t>
      </w:r>
    </w:p>
    <w:p w14:paraId="3018AD12" w14:textId="77777777" w:rsidR="007129CE" w:rsidRDefault="007129CE" w:rsidP="007129CE">
      <w:pPr>
        <w:pStyle w:val="VitaPub"/>
        <w:ind w:left="990" w:hanging="630"/>
      </w:pPr>
      <w:r>
        <w:t>Faculty Partners Award, University of North Carolina at Chapel Hill, 2006. $7,000.</w:t>
      </w:r>
    </w:p>
    <w:p w14:paraId="15A99BAE" w14:textId="13117D50" w:rsidR="007129CE" w:rsidRDefault="007129CE" w:rsidP="00E4215E">
      <w:pPr>
        <w:pStyle w:val="VitaPub"/>
        <w:ind w:left="990" w:hanging="630"/>
      </w:pPr>
      <w:r>
        <w:t>Charles Bidwell Fund Travel Award, University of Chicago Sociology Department, 2005</w:t>
      </w:r>
    </w:p>
    <w:p w14:paraId="21012095" w14:textId="12238F4A" w:rsidR="006848BE" w:rsidRPr="00E6550D" w:rsidRDefault="006848BE" w:rsidP="006848BE">
      <w:pPr>
        <w:pStyle w:val="VitaPub"/>
        <w:ind w:left="990" w:hanging="630"/>
      </w:pPr>
      <w:r w:rsidRPr="00E6550D">
        <w:t>Center on School Improvement Tuition Scholarship, 2000-2002</w:t>
      </w:r>
    </w:p>
    <w:p w14:paraId="06E0DE47" w14:textId="0B61B1D6" w:rsidR="004377D7" w:rsidRPr="001D1143" w:rsidRDefault="004377D7" w:rsidP="001D1143">
      <w:pPr>
        <w:pStyle w:val="VitaHead"/>
      </w:pPr>
      <w:r w:rsidRPr="001D1143">
        <w:t>Professional service</w:t>
      </w:r>
    </w:p>
    <w:p w14:paraId="45439F48" w14:textId="72354DB2" w:rsidR="006848BE" w:rsidRDefault="004C5279" w:rsidP="009445D3">
      <w:pPr>
        <w:pStyle w:val="aasectionsub"/>
      </w:pPr>
      <w:r>
        <w:t>Service</w:t>
      </w:r>
      <w:r w:rsidR="00E27ACC">
        <w:t xml:space="preserve"> to the Department and the University</w:t>
      </w:r>
    </w:p>
    <w:p w14:paraId="6591A15B" w14:textId="77777777" w:rsidR="005E6F9B" w:rsidRDefault="005E6F9B" w:rsidP="005E6F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r w:rsidRPr="00E27ACC">
        <w:rPr>
          <w:sz w:val="24"/>
          <w:szCs w:val="24"/>
        </w:rPr>
        <w:t xml:space="preserve">Data Sciences </w:t>
      </w:r>
      <w:r>
        <w:rPr>
          <w:sz w:val="24"/>
          <w:szCs w:val="24"/>
        </w:rPr>
        <w:t>Working Group, 2018-2019</w:t>
      </w:r>
    </w:p>
    <w:p w14:paraId="205A32A1" w14:textId="1EE815D9" w:rsidR="00E27ACC" w:rsidRPr="00E27ACC" w:rsidRDefault="00E27ACC" w:rsidP="002321C5">
      <w:pPr>
        <w:ind w:left="360"/>
        <w:rPr>
          <w:sz w:val="24"/>
          <w:szCs w:val="24"/>
        </w:rPr>
      </w:pPr>
      <w:r w:rsidRPr="00E27ACC">
        <w:rPr>
          <w:sz w:val="24"/>
          <w:szCs w:val="24"/>
        </w:rPr>
        <w:t>Director of Graduate Admissions, 2017-</w:t>
      </w:r>
    </w:p>
    <w:p w14:paraId="04857172" w14:textId="6F4FD65C" w:rsidR="00A925B1" w:rsidRPr="009445D3" w:rsidRDefault="00A925B1" w:rsidP="00A925B1">
      <w:pPr>
        <w:ind w:left="360"/>
        <w:rPr>
          <w:sz w:val="24"/>
          <w:szCs w:val="24"/>
        </w:rPr>
      </w:pPr>
      <w:r>
        <w:rPr>
          <w:sz w:val="24"/>
          <w:szCs w:val="24"/>
        </w:rPr>
        <w:t>Moderator, Carolina Forum, “Helping Every Child Succeed,” 2016</w:t>
      </w:r>
    </w:p>
    <w:p w14:paraId="2CEE527C" w14:textId="77777777" w:rsidR="00A925B1" w:rsidRPr="00E27ACC" w:rsidRDefault="00A925B1" w:rsidP="00A925B1">
      <w:pPr>
        <w:ind w:left="360"/>
        <w:rPr>
          <w:sz w:val="24"/>
          <w:szCs w:val="24"/>
        </w:rPr>
      </w:pPr>
      <w:r w:rsidRPr="00E27ACC">
        <w:rPr>
          <w:sz w:val="24"/>
          <w:szCs w:val="24"/>
        </w:rPr>
        <w:t>Founding Organizer, Carolina Seminar on Educational Inequality</w:t>
      </w:r>
      <w:r>
        <w:rPr>
          <w:sz w:val="24"/>
          <w:szCs w:val="24"/>
        </w:rPr>
        <w:t xml:space="preserve">, 2015 - </w:t>
      </w:r>
    </w:p>
    <w:p w14:paraId="0878598F" w14:textId="40E3CC3E" w:rsidR="00E27ACC" w:rsidRPr="00E27ACC" w:rsidRDefault="00E27ACC" w:rsidP="002321C5">
      <w:pPr>
        <w:ind w:left="360"/>
        <w:rPr>
          <w:sz w:val="24"/>
          <w:szCs w:val="24"/>
        </w:rPr>
      </w:pPr>
      <w:r w:rsidRPr="00E27ACC">
        <w:rPr>
          <w:sz w:val="24"/>
          <w:szCs w:val="24"/>
        </w:rPr>
        <w:t xml:space="preserve">Doctoral Core Committee, 2013-  </w:t>
      </w:r>
    </w:p>
    <w:p w14:paraId="283367C8" w14:textId="621785A5" w:rsidR="003F753A" w:rsidRDefault="003F753A" w:rsidP="009445D3">
      <w:pPr>
        <w:pStyle w:val="aasectionsub"/>
      </w:pPr>
      <w:r>
        <w:t>Professional Activities</w:t>
      </w:r>
    </w:p>
    <w:p w14:paraId="45996BF3" w14:textId="3B404961" w:rsidR="009F0FB8" w:rsidRDefault="009F0FB8" w:rsidP="003316FD">
      <w:pPr>
        <w:pStyle w:val="VitaPub"/>
        <w:ind w:left="994" w:hanging="634"/>
      </w:pPr>
      <w:r>
        <w:t xml:space="preserve">Associate Editor, </w:t>
      </w:r>
      <w:r w:rsidRPr="00055BA3">
        <w:rPr>
          <w:i/>
          <w:iCs/>
        </w:rPr>
        <w:t>American Education Research Journal</w:t>
      </w:r>
      <w:r>
        <w:t xml:space="preserve"> (2019- )</w:t>
      </w:r>
    </w:p>
    <w:p w14:paraId="25BBCDB1" w14:textId="279977E6" w:rsidR="008975CC" w:rsidRDefault="008975CC" w:rsidP="003316FD">
      <w:pPr>
        <w:pStyle w:val="VitaPub"/>
        <w:ind w:left="994" w:hanging="634"/>
        <w:rPr>
          <w:i/>
        </w:rPr>
      </w:pPr>
      <w:r w:rsidRPr="002C4FBF">
        <w:t>Institute of Education Sciences,</w:t>
      </w:r>
      <w:r w:rsidRPr="00687DD8">
        <w:rPr>
          <w:i/>
        </w:rPr>
        <w:t xml:space="preserve"> </w:t>
      </w:r>
      <w:r w:rsidRPr="00687DD8">
        <w:t>FY2018, Ad-Hoc Member, scientific peer review panelist</w:t>
      </w:r>
    </w:p>
    <w:p w14:paraId="5B61666C" w14:textId="3DA5789B" w:rsidR="003316FD" w:rsidRPr="00FF42C0" w:rsidRDefault="003316FD" w:rsidP="003316FD">
      <w:pPr>
        <w:pStyle w:val="VitaPub"/>
        <w:ind w:left="994" w:hanging="634"/>
      </w:pPr>
      <w:r w:rsidRPr="002C4FBF">
        <w:lastRenderedPageBreak/>
        <w:t>Institute of Education Sciences</w:t>
      </w:r>
      <w:r>
        <w:rPr>
          <w:i/>
        </w:rPr>
        <w:t xml:space="preserve">, </w:t>
      </w:r>
      <w:r w:rsidR="00C422C8">
        <w:t>FY2015-FY2017</w:t>
      </w:r>
      <w:r>
        <w:t xml:space="preserve"> Principal Member, Education Systems and Broad Reform scientific peer review panelist</w:t>
      </w:r>
    </w:p>
    <w:p w14:paraId="058B221D" w14:textId="1010A2EF" w:rsidR="007A635F" w:rsidRDefault="007A635F" w:rsidP="007A635F">
      <w:pPr>
        <w:pStyle w:val="VitaPub"/>
        <w:ind w:left="994" w:hanging="634"/>
        <w:rPr>
          <w:i/>
        </w:rPr>
      </w:pPr>
      <w:r w:rsidRPr="002C4FBF">
        <w:t>Society for Research on Educational Effectiveness,</w:t>
      </w:r>
      <w:r w:rsidRPr="006129E6">
        <w:t xml:space="preserve"> Program Committee,</w:t>
      </w:r>
      <w:r>
        <w:t xml:space="preserve"> Education Policy Section Chair, Spring 2015 conference</w:t>
      </w:r>
    </w:p>
    <w:p w14:paraId="2D898D9E" w14:textId="69476F62" w:rsidR="00DD3278" w:rsidRPr="00FF42C0" w:rsidRDefault="00DD3278" w:rsidP="00676B93">
      <w:pPr>
        <w:pStyle w:val="VitaPub"/>
        <w:ind w:left="994" w:hanging="634"/>
      </w:pPr>
      <w:r w:rsidRPr="002C4FBF">
        <w:t>Institute of Education Sciences</w:t>
      </w:r>
      <w:r w:rsidR="00FF42C0" w:rsidRPr="002C4FBF">
        <w:t>,</w:t>
      </w:r>
      <w:r w:rsidR="00FF42C0">
        <w:rPr>
          <w:i/>
        </w:rPr>
        <w:t xml:space="preserve"> </w:t>
      </w:r>
      <w:r w:rsidR="00FF42C0">
        <w:t xml:space="preserve">FY2014 Education Systems and Broad Reform </w:t>
      </w:r>
      <w:r w:rsidR="005D42CE">
        <w:t xml:space="preserve">ad-hoc </w:t>
      </w:r>
      <w:r w:rsidR="00FF42C0">
        <w:t xml:space="preserve">scientific peer review panelist </w:t>
      </w:r>
    </w:p>
    <w:p w14:paraId="43A8FBE5" w14:textId="5E1A02B5" w:rsidR="00A500F4" w:rsidRDefault="00A500F4" w:rsidP="00E81F5A">
      <w:pPr>
        <w:pStyle w:val="VitaPub"/>
        <w:ind w:left="990" w:hanging="630"/>
        <w:rPr>
          <w:iCs/>
        </w:rPr>
      </w:pPr>
      <w:r>
        <w:rPr>
          <w:iCs/>
        </w:rPr>
        <w:t xml:space="preserve">American Sociological Association, Sociology of Education section, David Lee Stevenson Graduate Student Paper Award Committee member, 2011. </w:t>
      </w:r>
    </w:p>
    <w:p w14:paraId="28C41194" w14:textId="77777777" w:rsidR="00041F9C" w:rsidRDefault="00041F9C" w:rsidP="00041F9C">
      <w:pPr>
        <w:pStyle w:val="VitaPub"/>
        <w:ind w:left="990" w:hanging="630"/>
        <w:rPr>
          <w:iCs/>
        </w:rPr>
      </w:pPr>
      <w:r>
        <w:rPr>
          <w:iCs/>
        </w:rPr>
        <w:t xml:space="preserve">American Educational Research Association Division L – Education Policy and Politics 2009 Dissertation Award Committee Panel Member. </w:t>
      </w:r>
    </w:p>
    <w:p w14:paraId="00082BE8" w14:textId="77777777" w:rsidR="00041F9C" w:rsidRPr="00E6550D" w:rsidRDefault="00041F9C" w:rsidP="00041F9C">
      <w:pPr>
        <w:pStyle w:val="VitaPub"/>
        <w:ind w:left="990" w:hanging="630"/>
      </w:pPr>
      <w:r w:rsidRPr="002C4FBF">
        <w:t>Associate Editor</w:t>
      </w:r>
      <w:r w:rsidRPr="00E6550D">
        <w:rPr>
          <w:i/>
        </w:rPr>
        <w:t xml:space="preserve">, </w:t>
      </w:r>
      <w:r w:rsidRPr="00055BA3">
        <w:rPr>
          <w:i/>
          <w:iCs/>
        </w:rPr>
        <w:t>American Journal of Sociology</w:t>
      </w:r>
      <w:r w:rsidRPr="00E6550D">
        <w:t xml:space="preserve"> (2003-2004)</w:t>
      </w:r>
    </w:p>
    <w:p w14:paraId="291B6F16" w14:textId="30C8EDFC" w:rsidR="00041F9C" w:rsidRDefault="00041F9C" w:rsidP="00041F9C">
      <w:pPr>
        <w:pStyle w:val="VitaPub"/>
        <w:ind w:left="990" w:hanging="630"/>
        <w:rPr>
          <w:iCs/>
        </w:rPr>
      </w:pPr>
      <w:r w:rsidRPr="002C4FBF">
        <w:t>Student Editor</w:t>
      </w:r>
      <w:r w:rsidRPr="002C4FBF">
        <w:rPr>
          <w:iCs/>
        </w:rPr>
        <w:t>,</w:t>
      </w:r>
      <w:r w:rsidRPr="00E6550D">
        <w:rPr>
          <w:iCs/>
        </w:rPr>
        <w:t xml:space="preserve"> </w:t>
      </w:r>
      <w:r w:rsidRPr="00055BA3">
        <w:rPr>
          <w:i/>
        </w:rPr>
        <w:t>Educational Evaluation and Policy Analysis</w:t>
      </w:r>
      <w:r w:rsidRPr="00E6550D">
        <w:rPr>
          <w:iCs/>
        </w:rPr>
        <w:t xml:space="preserve"> (2001-2003)</w:t>
      </w:r>
    </w:p>
    <w:p w14:paraId="73B0B1DD" w14:textId="77777777" w:rsidR="00041F9C" w:rsidRDefault="00041F9C" w:rsidP="00041F9C">
      <w:pPr>
        <w:pStyle w:val="VitaPub"/>
        <w:ind w:left="990" w:hanging="630"/>
        <w:rPr>
          <w:iCs/>
        </w:rPr>
      </w:pPr>
      <w:r w:rsidRPr="002C4FBF">
        <w:t>Founding Co-Editor</w:t>
      </w:r>
      <w:r w:rsidRPr="002C4FBF">
        <w:rPr>
          <w:iCs/>
        </w:rPr>
        <w:t>,</w:t>
      </w:r>
      <w:r w:rsidRPr="00E6550D">
        <w:rPr>
          <w:iCs/>
        </w:rPr>
        <w:t xml:space="preserve"> </w:t>
      </w:r>
      <w:r w:rsidRPr="00055BA3">
        <w:rPr>
          <w:i/>
        </w:rPr>
        <w:t>Chicago Policy Review</w:t>
      </w:r>
      <w:r w:rsidRPr="00E6550D">
        <w:rPr>
          <w:iCs/>
        </w:rPr>
        <w:t xml:space="preserve"> (1996-1997)</w:t>
      </w:r>
    </w:p>
    <w:p w14:paraId="172760DE" w14:textId="4F1A27B9" w:rsidR="00041F9C" w:rsidRPr="00805CF9" w:rsidRDefault="00041F9C" w:rsidP="00041F9C">
      <w:pPr>
        <w:pStyle w:val="VitaPub"/>
        <w:ind w:left="994" w:hanging="634"/>
      </w:pPr>
      <w:r w:rsidRPr="002C4FBF">
        <w:t>Editorial Board</w:t>
      </w:r>
      <w:r>
        <w:rPr>
          <w:i/>
        </w:rPr>
        <w:t xml:space="preserve">, </w:t>
      </w:r>
      <w:r w:rsidRPr="00055BA3">
        <w:rPr>
          <w:i/>
          <w:iCs/>
        </w:rPr>
        <w:t>Journal of Research on Educational Effectiveness</w:t>
      </w:r>
      <w:r>
        <w:t xml:space="preserve"> (2019- ), </w:t>
      </w:r>
      <w:r w:rsidRPr="00055BA3">
        <w:rPr>
          <w:i/>
          <w:iCs/>
        </w:rPr>
        <w:t>Contexts Magazine</w:t>
      </w:r>
      <w:r>
        <w:t xml:space="preserve"> (2019- ), </w:t>
      </w:r>
      <w:r>
        <w:rPr>
          <w:i/>
        </w:rPr>
        <w:t>American Educational Research Journal</w:t>
      </w:r>
      <w:r w:rsidRPr="0058023C">
        <w:t xml:space="preserve"> (2016-</w:t>
      </w:r>
      <w:r>
        <w:t xml:space="preserve"> </w:t>
      </w:r>
      <w:r w:rsidRPr="0058023C">
        <w:t>)</w:t>
      </w:r>
      <w:r>
        <w:t xml:space="preserve">, </w:t>
      </w:r>
      <w:r w:rsidRPr="00055BA3">
        <w:rPr>
          <w:i/>
          <w:iCs/>
        </w:rPr>
        <w:t>Educational Evaluation and Policy Analysis</w:t>
      </w:r>
      <w:r>
        <w:t xml:space="preserve"> (2012-2015), </w:t>
      </w:r>
      <w:r w:rsidRPr="00055BA3">
        <w:rPr>
          <w:i/>
          <w:iCs/>
        </w:rPr>
        <w:t>Sociology of Education</w:t>
      </w:r>
      <w:r>
        <w:t xml:space="preserve"> (2007-2010), </w:t>
      </w:r>
    </w:p>
    <w:p w14:paraId="02533B97" w14:textId="1115956A" w:rsidR="0058023C" w:rsidRDefault="0058023C" w:rsidP="002C4FBF">
      <w:pPr>
        <w:pStyle w:val="VitaPub"/>
        <w:ind w:left="990" w:hanging="630"/>
        <w:rPr>
          <w:i/>
          <w:iCs/>
        </w:rPr>
      </w:pPr>
      <w:r>
        <w:rPr>
          <w:iCs/>
        </w:rPr>
        <w:t xml:space="preserve">Manuscript reviews and adjudications for </w:t>
      </w:r>
      <w:r w:rsidRPr="003F753A">
        <w:rPr>
          <w:i/>
          <w:iCs/>
        </w:rPr>
        <w:t>American Journal of Sociology</w:t>
      </w:r>
      <w:r>
        <w:rPr>
          <w:iCs/>
        </w:rPr>
        <w:t xml:space="preserve">, </w:t>
      </w:r>
      <w:r w:rsidRPr="003F753A">
        <w:rPr>
          <w:i/>
          <w:iCs/>
        </w:rPr>
        <w:t>American Sociological Review</w:t>
      </w:r>
      <w:r>
        <w:rPr>
          <w:iCs/>
        </w:rPr>
        <w:t xml:space="preserve">, </w:t>
      </w:r>
      <w:r w:rsidRPr="00363CD7">
        <w:rPr>
          <w:i/>
          <w:iCs/>
        </w:rPr>
        <w:t>Social Forces, American Economic Review,</w:t>
      </w:r>
      <w:r>
        <w:rPr>
          <w:iCs/>
        </w:rPr>
        <w:t xml:space="preserve"> </w:t>
      </w:r>
      <w:r w:rsidRPr="00672E3A">
        <w:rPr>
          <w:i/>
          <w:iCs/>
        </w:rPr>
        <w:t>Journal of Policy Analysis and Management</w:t>
      </w:r>
      <w:r>
        <w:rPr>
          <w:iCs/>
        </w:rPr>
        <w:t xml:space="preserve">, </w:t>
      </w:r>
      <w:r w:rsidRPr="003F753A">
        <w:rPr>
          <w:i/>
          <w:iCs/>
        </w:rPr>
        <w:t>Educational Evaluation and Policy Analysis</w:t>
      </w:r>
      <w:r>
        <w:rPr>
          <w:i/>
          <w:iCs/>
        </w:rPr>
        <w:t>, Education Finance and Policy, Educational Policy Analysis Archives, Sage Press, American Education Research Association, Sociology of Education, American Journal of Education, American Educational Research Journal, European Sociological Review</w:t>
      </w:r>
      <w:r w:rsidR="00FF2366">
        <w:rPr>
          <w:i/>
          <w:iCs/>
        </w:rPr>
        <w:t>, Journal of Research on Educational Effectiveness</w:t>
      </w:r>
      <w:r>
        <w:rPr>
          <w:i/>
          <w:iCs/>
        </w:rPr>
        <w:t xml:space="preserve">. </w:t>
      </w:r>
    </w:p>
    <w:p w14:paraId="7F85F527" w14:textId="2EA26D6F" w:rsidR="00180E3E" w:rsidRPr="00180E3E" w:rsidRDefault="00FF2366" w:rsidP="002C4FBF">
      <w:pPr>
        <w:pStyle w:val="VitaPub"/>
        <w:ind w:left="990" w:hanging="630"/>
        <w:rPr>
          <w:iCs/>
        </w:rPr>
      </w:pPr>
      <w:r>
        <w:t xml:space="preserve">Professional </w:t>
      </w:r>
      <w:r w:rsidR="00180E3E" w:rsidRPr="00FF2366">
        <w:t>Affiliations</w:t>
      </w:r>
      <w:r>
        <w:t xml:space="preserve"> with</w:t>
      </w:r>
      <w:r w:rsidR="00180E3E">
        <w:rPr>
          <w:i/>
          <w:iCs/>
        </w:rPr>
        <w:t xml:space="preserve"> </w:t>
      </w:r>
      <w:r w:rsidR="00180E3E" w:rsidRPr="00180E3E">
        <w:rPr>
          <w:iCs/>
        </w:rPr>
        <w:t>American Sociological Association, Association of Policy Analysis and Management, American Education Research Association, Society for Research on Educational Effectiveness, Sociology of Education Association, American Education Finance Association</w:t>
      </w:r>
    </w:p>
    <w:sectPr w:rsidR="00180E3E" w:rsidRPr="00180E3E" w:rsidSect="009E73E0">
      <w:headerReference w:type="default" r:id="rId10"/>
      <w:type w:val="continuous"/>
      <w:pgSz w:w="12240" w:h="15840"/>
      <w:pgMar w:top="1296" w:right="1368" w:bottom="1296" w:left="13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A721" w14:textId="77777777" w:rsidR="00D05AA6" w:rsidRDefault="00D05AA6">
      <w:r>
        <w:separator/>
      </w:r>
    </w:p>
  </w:endnote>
  <w:endnote w:type="continuationSeparator" w:id="0">
    <w:p w14:paraId="6A2C78F0" w14:textId="77777777" w:rsidR="00D05AA6" w:rsidRDefault="00D0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DEB1" w14:textId="77777777" w:rsidR="00D05AA6" w:rsidRDefault="00D05AA6">
      <w:r>
        <w:separator/>
      </w:r>
    </w:p>
  </w:footnote>
  <w:footnote w:type="continuationSeparator" w:id="0">
    <w:p w14:paraId="28AF46B1" w14:textId="77777777" w:rsidR="00D05AA6" w:rsidRDefault="00D0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35C" w14:textId="23143160" w:rsidR="005B1140" w:rsidRPr="00CA0172" w:rsidRDefault="005B1140" w:rsidP="006C6051">
    <w:pPr>
      <w:jc w:val="right"/>
      <w:rPr>
        <w:sz w:val="22"/>
        <w:szCs w:val="22"/>
      </w:rPr>
    </w:pPr>
    <w:r w:rsidRPr="00CA0172">
      <w:rPr>
        <w:sz w:val="22"/>
        <w:szCs w:val="22"/>
      </w:rPr>
      <w:t xml:space="preserve">Lauen </w:t>
    </w:r>
    <w:proofErr w:type="spellStart"/>
    <w:r w:rsidRPr="00CA0172">
      <w:rPr>
        <w:sz w:val="22"/>
        <w:szCs w:val="22"/>
      </w:rPr>
      <w:t>Vitæ</w:t>
    </w:r>
    <w:proofErr w:type="spellEnd"/>
    <w:r w:rsidRPr="00CA0172">
      <w:rPr>
        <w:sz w:val="22"/>
        <w:szCs w:val="22"/>
      </w:rPr>
      <w:t xml:space="preserve"> - </w:t>
    </w:r>
    <w:r w:rsidRPr="00CA0172">
      <w:rPr>
        <w:rStyle w:val="PageNumber"/>
        <w:sz w:val="22"/>
        <w:szCs w:val="22"/>
      </w:rPr>
      <w:fldChar w:fldCharType="begin"/>
    </w:r>
    <w:r w:rsidRPr="00CA0172">
      <w:rPr>
        <w:rStyle w:val="PageNumber"/>
        <w:sz w:val="22"/>
        <w:szCs w:val="22"/>
      </w:rPr>
      <w:instrText xml:space="preserve"> PAGE </w:instrText>
    </w:r>
    <w:r w:rsidRPr="00CA0172">
      <w:rPr>
        <w:rStyle w:val="PageNumber"/>
        <w:sz w:val="22"/>
        <w:szCs w:val="22"/>
      </w:rPr>
      <w:fldChar w:fldCharType="separate"/>
    </w:r>
    <w:r w:rsidR="004377D7">
      <w:rPr>
        <w:rStyle w:val="PageNumber"/>
        <w:noProof/>
        <w:sz w:val="22"/>
        <w:szCs w:val="22"/>
      </w:rPr>
      <w:t>11</w:t>
    </w:r>
    <w:r w:rsidRPr="00CA0172">
      <w:rPr>
        <w:rStyle w:val="PageNumber"/>
        <w:sz w:val="22"/>
        <w:szCs w:val="22"/>
      </w:rPr>
      <w:fldChar w:fldCharType="end"/>
    </w:r>
    <w:r w:rsidRPr="00CA0172">
      <w:rPr>
        <w:rStyle w:val="PageNumber"/>
        <w:sz w:val="22"/>
        <w:szCs w:val="22"/>
      </w:rPr>
      <w:t xml:space="preserve"> of </w:t>
    </w:r>
    <w:r w:rsidRPr="00CA0172">
      <w:rPr>
        <w:rStyle w:val="PageNumber"/>
        <w:sz w:val="22"/>
        <w:szCs w:val="22"/>
      </w:rPr>
      <w:fldChar w:fldCharType="begin"/>
    </w:r>
    <w:r w:rsidRPr="00CA0172">
      <w:rPr>
        <w:rStyle w:val="PageNumber"/>
        <w:sz w:val="22"/>
        <w:szCs w:val="22"/>
      </w:rPr>
      <w:instrText xml:space="preserve"> NUMPAGES </w:instrText>
    </w:r>
    <w:r w:rsidRPr="00CA0172">
      <w:rPr>
        <w:rStyle w:val="PageNumber"/>
        <w:sz w:val="22"/>
        <w:szCs w:val="22"/>
      </w:rPr>
      <w:fldChar w:fldCharType="separate"/>
    </w:r>
    <w:r w:rsidR="004377D7">
      <w:rPr>
        <w:rStyle w:val="PageNumber"/>
        <w:noProof/>
        <w:sz w:val="22"/>
        <w:szCs w:val="22"/>
      </w:rPr>
      <w:t>11</w:t>
    </w:r>
    <w:r w:rsidRPr="00CA0172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F4F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0A04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76A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C81D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FD6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306C9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80A8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ECF7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CC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249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C235BD"/>
    <w:multiLevelType w:val="hybridMultilevel"/>
    <w:tmpl w:val="998C1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249"/>
    <w:multiLevelType w:val="hybridMultilevel"/>
    <w:tmpl w:val="B0089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83D2A"/>
    <w:multiLevelType w:val="hybridMultilevel"/>
    <w:tmpl w:val="71F438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A42BDE"/>
    <w:multiLevelType w:val="hybridMultilevel"/>
    <w:tmpl w:val="45FA1C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1F2A5085"/>
    <w:multiLevelType w:val="hybridMultilevel"/>
    <w:tmpl w:val="A5D42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3233"/>
    <w:multiLevelType w:val="hybridMultilevel"/>
    <w:tmpl w:val="1B643D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B78CF"/>
    <w:multiLevelType w:val="hybridMultilevel"/>
    <w:tmpl w:val="7136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1444"/>
    <w:multiLevelType w:val="hybridMultilevel"/>
    <w:tmpl w:val="5E8CA596"/>
    <w:lvl w:ilvl="0" w:tplc="72824A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1332D"/>
    <w:multiLevelType w:val="hybridMultilevel"/>
    <w:tmpl w:val="0EE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80D"/>
    <w:multiLevelType w:val="hybridMultilevel"/>
    <w:tmpl w:val="8C74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F7799"/>
    <w:multiLevelType w:val="hybridMultilevel"/>
    <w:tmpl w:val="1B643DB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D0890"/>
    <w:multiLevelType w:val="hybridMultilevel"/>
    <w:tmpl w:val="DFE6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12"/>
  </w:num>
  <w:num w:numId="8">
    <w:abstractNumId w:val="19"/>
  </w:num>
  <w:num w:numId="9">
    <w:abstractNumId w:val="18"/>
  </w:num>
  <w:num w:numId="10">
    <w:abstractNumId w:val="0"/>
  </w:num>
  <w:num w:numId="11">
    <w:abstractNumId w:val="8"/>
  </w:num>
  <w:num w:numId="12">
    <w:abstractNumId w:val="7"/>
  </w:num>
  <w:num w:numId="13">
    <w:abstractNumId w:val="22"/>
  </w:num>
  <w:num w:numId="14">
    <w:abstractNumId w:val="20"/>
  </w:num>
  <w:num w:numId="15">
    <w:abstractNumId w:val="17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A8"/>
    <w:rsid w:val="000111C0"/>
    <w:rsid w:val="00011D2E"/>
    <w:rsid w:val="000159BC"/>
    <w:rsid w:val="000203A3"/>
    <w:rsid w:val="00022D0B"/>
    <w:rsid w:val="00024B5F"/>
    <w:rsid w:val="0002735F"/>
    <w:rsid w:val="00036415"/>
    <w:rsid w:val="00036734"/>
    <w:rsid w:val="00037034"/>
    <w:rsid w:val="00041F9C"/>
    <w:rsid w:val="00042E6D"/>
    <w:rsid w:val="00044352"/>
    <w:rsid w:val="00045420"/>
    <w:rsid w:val="0004664E"/>
    <w:rsid w:val="00047293"/>
    <w:rsid w:val="000479C2"/>
    <w:rsid w:val="00047FF5"/>
    <w:rsid w:val="00054A7E"/>
    <w:rsid w:val="00055BA3"/>
    <w:rsid w:val="00057627"/>
    <w:rsid w:val="0007093A"/>
    <w:rsid w:val="00072C19"/>
    <w:rsid w:val="00073C4A"/>
    <w:rsid w:val="000771C2"/>
    <w:rsid w:val="00080FF1"/>
    <w:rsid w:val="00086778"/>
    <w:rsid w:val="0009493A"/>
    <w:rsid w:val="000961E8"/>
    <w:rsid w:val="000A00F0"/>
    <w:rsid w:val="000A35EB"/>
    <w:rsid w:val="000B6B7A"/>
    <w:rsid w:val="000C2900"/>
    <w:rsid w:val="000C2E7E"/>
    <w:rsid w:val="000C327A"/>
    <w:rsid w:val="000D2CBA"/>
    <w:rsid w:val="000D6196"/>
    <w:rsid w:val="000E29FB"/>
    <w:rsid w:val="000F0161"/>
    <w:rsid w:val="000F1473"/>
    <w:rsid w:val="000F4DA6"/>
    <w:rsid w:val="000F4E11"/>
    <w:rsid w:val="00100D5D"/>
    <w:rsid w:val="00101CDC"/>
    <w:rsid w:val="00110D07"/>
    <w:rsid w:val="001111B7"/>
    <w:rsid w:val="00113B30"/>
    <w:rsid w:val="00115DBF"/>
    <w:rsid w:val="001272DD"/>
    <w:rsid w:val="00135401"/>
    <w:rsid w:val="001438F4"/>
    <w:rsid w:val="00146850"/>
    <w:rsid w:val="00150CD6"/>
    <w:rsid w:val="00163DEB"/>
    <w:rsid w:val="00164255"/>
    <w:rsid w:val="00166DDA"/>
    <w:rsid w:val="0017744A"/>
    <w:rsid w:val="00177887"/>
    <w:rsid w:val="00180808"/>
    <w:rsid w:val="00180E3E"/>
    <w:rsid w:val="00183645"/>
    <w:rsid w:val="00186850"/>
    <w:rsid w:val="00191B5A"/>
    <w:rsid w:val="00194AE7"/>
    <w:rsid w:val="001A133B"/>
    <w:rsid w:val="001A5116"/>
    <w:rsid w:val="001B1A40"/>
    <w:rsid w:val="001C627F"/>
    <w:rsid w:val="001D1143"/>
    <w:rsid w:val="001D2C22"/>
    <w:rsid w:val="001E1318"/>
    <w:rsid w:val="001F50B4"/>
    <w:rsid w:val="00212189"/>
    <w:rsid w:val="00213BB1"/>
    <w:rsid w:val="00215164"/>
    <w:rsid w:val="002174B5"/>
    <w:rsid w:val="00226163"/>
    <w:rsid w:val="002321C5"/>
    <w:rsid w:val="00240454"/>
    <w:rsid w:val="00241E24"/>
    <w:rsid w:val="0024506C"/>
    <w:rsid w:val="0025066A"/>
    <w:rsid w:val="00253500"/>
    <w:rsid w:val="0026159A"/>
    <w:rsid w:val="00262A4E"/>
    <w:rsid w:val="0026571F"/>
    <w:rsid w:val="00265C9B"/>
    <w:rsid w:val="00271E8C"/>
    <w:rsid w:val="00277516"/>
    <w:rsid w:val="00282E12"/>
    <w:rsid w:val="00285270"/>
    <w:rsid w:val="00287194"/>
    <w:rsid w:val="00290BCF"/>
    <w:rsid w:val="002A09AD"/>
    <w:rsid w:val="002A2172"/>
    <w:rsid w:val="002A59E8"/>
    <w:rsid w:val="002B088B"/>
    <w:rsid w:val="002B3429"/>
    <w:rsid w:val="002C2DAF"/>
    <w:rsid w:val="002C4FBF"/>
    <w:rsid w:val="002C4FEA"/>
    <w:rsid w:val="002C577C"/>
    <w:rsid w:val="002C7A08"/>
    <w:rsid w:val="002D2DE5"/>
    <w:rsid w:val="002D476B"/>
    <w:rsid w:val="002E2531"/>
    <w:rsid w:val="002E5DE6"/>
    <w:rsid w:val="002E62A8"/>
    <w:rsid w:val="002F2783"/>
    <w:rsid w:val="002F7D9D"/>
    <w:rsid w:val="003018E9"/>
    <w:rsid w:val="00302139"/>
    <w:rsid w:val="00314F7B"/>
    <w:rsid w:val="003159EA"/>
    <w:rsid w:val="003162EF"/>
    <w:rsid w:val="003316FD"/>
    <w:rsid w:val="00336D8B"/>
    <w:rsid w:val="00342229"/>
    <w:rsid w:val="00343A64"/>
    <w:rsid w:val="003460FA"/>
    <w:rsid w:val="003564E4"/>
    <w:rsid w:val="0035729C"/>
    <w:rsid w:val="0036090A"/>
    <w:rsid w:val="00363CD7"/>
    <w:rsid w:val="003768ED"/>
    <w:rsid w:val="0038333C"/>
    <w:rsid w:val="00390444"/>
    <w:rsid w:val="003A4377"/>
    <w:rsid w:val="003A7187"/>
    <w:rsid w:val="003B38A4"/>
    <w:rsid w:val="003B4DBA"/>
    <w:rsid w:val="003C0203"/>
    <w:rsid w:val="003C3F36"/>
    <w:rsid w:val="003C557D"/>
    <w:rsid w:val="003C5EED"/>
    <w:rsid w:val="003C62EF"/>
    <w:rsid w:val="003D6308"/>
    <w:rsid w:val="003D761C"/>
    <w:rsid w:val="003D767D"/>
    <w:rsid w:val="003F753A"/>
    <w:rsid w:val="00400B6F"/>
    <w:rsid w:val="00400C65"/>
    <w:rsid w:val="00402776"/>
    <w:rsid w:val="00405491"/>
    <w:rsid w:val="00406C21"/>
    <w:rsid w:val="00412DD2"/>
    <w:rsid w:val="00414E07"/>
    <w:rsid w:val="004172A6"/>
    <w:rsid w:val="004226A5"/>
    <w:rsid w:val="00426622"/>
    <w:rsid w:val="004270C8"/>
    <w:rsid w:val="00427194"/>
    <w:rsid w:val="00434780"/>
    <w:rsid w:val="004377D7"/>
    <w:rsid w:val="00437E46"/>
    <w:rsid w:val="00443C96"/>
    <w:rsid w:val="00450C0F"/>
    <w:rsid w:val="00455B95"/>
    <w:rsid w:val="004651A6"/>
    <w:rsid w:val="00465A53"/>
    <w:rsid w:val="00467AD2"/>
    <w:rsid w:val="00476670"/>
    <w:rsid w:val="00476C56"/>
    <w:rsid w:val="004833BE"/>
    <w:rsid w:val="004834FC"/>
    <w:rsid w:val="00485FAA"/>
    <w:rsid w:val="004935C6"/>
    <w:rsid w:val="004A0315"/>
    <w:rsid w:val="004A0464"/>
    <w:rsid w:val="004A19A6"/>
    <w:rsid w:val="004A2EC0"/>
    <w:rsid w:val="004A3981"/>
    <w:rsid w:val="004A67FD"/>
    <w:rsid w:val="004B1DD6"/>
    <w:rsid w:val="004C3A71"/>
    <w:rsid w:val="004C5279"/>
    <w:rsid w:val="004D0B54"/>
    <w:rsid w:val="004D24C9"/>
    <w:rsid w:val="004D2C96"/>
    <w:rsid w:val="004D514D"/>
    <w:rsid w:val="004D61D7"/>
    <w:rsid w:val="004D62E4"/>
    <w:rsid w:val="004F0A1C"/>
    <w:rsid w:val="004F1304"/>
    <w:rsid w:val="004F47E8"/>
    <w:rsid w:val="004F4CE7"/>
    <w:rsid w:val="004F5DEA"/>
    <w:rsid w:val="004F607D"/>
    <w:rsid w:val="00500B0F"/>
    <w:rsid w:val="00503FB3"/>
    <w:rsid w:val="00505EBB"/>
    <w:rsid w:val="00511B07"/>
    <w:rsid w:val="005136C4"/>
    <w:rsid w:val="005138AA"/>
    <w:rsid w:val="00522536"/>
    <w:rsid w:val="005262AA"/>
    <w:rsid w:val="00533FB5"/>
    <w:rsid w:val="0054581D"/>
    <w:rsid w:val="0055160F"/>
    <w:rsid w:val="00556C3B"/>
    <w:rsid w:val="00570C2D"/>
    <w:rsid w:val="00575A9A"/>
    <w:rsid w:val="0058023C"/>
    <w:rsid w:val="00581BA2"/>
    <w:rsid w:val="00592451"/>
    <w:rsid w:val="00593B2B"/>
    <w:rsid w:val="00594C97"/>
    <w:rsid w:val="00596E97"/>
    <w:rsid w:val="005A40FA"/>
    <w:rsid w:val="005B01BD"/>
    <w:rsid w:val="005B1140"/>
    <w:rsid w:val="005B1A87"/>
    <w:rsid w:val="005D2F4B"/>
    <w:rsid w:val="005D42CE"/>
    <w:rsid w:val="005E38CA"/>
    <w:rsid w:val="005E6624"/>
    <w:rsid w:val="005E6F9B"/>
    <w:rsid w:val="005F4CE2"/>
    <w:rsid w:val="005F7803"/>
    <w:rsid w:val="00600572"/>
    <w:rsid w:val="00607F54"/>
    <w:rsid w:val="006129E6"/>
    <w:rsid w:val="00612E23"/>
    <w:rsid w:val="006134A7"/>
    <w:rsid w:val="00614601"/>
    <w:rsid w:val="006209A9"/>
    <w:rsid w:val="00636884"/>
    <w:rsid w:val="00637081"/>
    <w:rsid w:val="006371FC"/>
    <w:rsid w:val="00644B8C"/>
    <w:rsid w:val="00645EF0"/>
    <w:rsid w:val="00647683"/>
    <w:rsid w:val="00654060"/>
    <w:rsid w:val="006619F9"/>
    <w:rsid w:val="00665B77"/>
    <w:rsid w:val="00670483"/>
    <w:rsid w:val="00672B06"/>
    <w:rsid w:val="00672E3A"/>
    <w:rsid w:val="00676B93"/>
    <w:rsid w:val="006816B5"/>
    <w:rsid w:val="0068256B"/>
    <w:rsid w:val="006848BE"/>
    <w:rsid w:val="00687DD8"/>
    <w:rsid w:val="00690CCC"/>
    <w:rsid w:val="00691DD7"/>
    <w:rsid w:val="00692CCC"/>
    <w:rsid w:val="00694F66"/>
    <w:rsid w:val="006A7D91"/>
    <w:rsid w:val="006B2EB6"/>
    <w:rsid w:val="006B7D67"/>
    <w:rsid w:val="006C06DB"/>
    <w:rsid w:val="006C25FF"/>
    <w:rsid w:val="006C4D28"/>
    <w:rsid w:val="006C6051"/>
    <w:rsid w:val="006D1449"/>
    <w:rsid w:val="006D4F63"/>
    <w:rsid w:val="006E575F"/>
    <w:rsid w:val="006E6CC1"/>
    <w:rsid w:val="006F3291"/>
    <w:rsid w:val="006F5466"/>
    <w:rsid w:val="00706BC2"/>
    <w:rsid w:val="007129CE"/>
    <w:rsid w:val="00713377"/>
    <w:rsid w:val="007163DA"/>
    <w:rsid w:val="007322F4"/>
    <w:rsid w:val="007334D7"/>
    <w:rsid w:val="007348D1"/>
    <w:rsid w:val="00735BB8"/>
    <w:rsid w:val="007415B7"/>
    <w:rsid w:val="0074584F"/>
    <w:rsid w:val="00745C3D"/>
    <w:rsid w:val="00753F4D"/>
    <w:rsid w:val="00754D46"/>
    <w:rsid w:val="00756AE9"/>
    <w:rsid w:val="00757F6B"/>
    <w:rsid w:val="007612A2"/>
    <w:rsid w:val="007639B7"/>
    <w:rsid w:val="007660EF"/>
    <w:rsid w:val="007665F1"/>
    <w:rsid w:val="00767609"/>
    <w:rsid w:val="00767FE8"/>
    <w:rsid w:val="007748CE"/>
    <w:rsid w:val="00777980"/>
    <w:rsid w:val="00786865"/>
    <w:rsid w:val="00794242"/>
    <w:rsid w:val="007A086C"/>
    <w:rsid w:val="007A18C1"/>
    <w:rsid w:val="007A41E3"/>
    <w:rsid w:val="007A5FBE"/>
    <w:rsid w:val="007A635F"/>
    <w:rsid w:val="007B25B4"/>
    <w:rsid w:val="007B7468"/>
    <w:rsid w:val="007C7199"/>
    <w:rsid w:val="007C79D4"/>
    <w:rsid w:val="007D5A73"/>
    <w:rsid w:val="007D5D7A"/>
    <w:rsid w:val="007E1671"/>
    <w:rsid w:val="007E18AD"/>
    <w:rsid w:val="007E536B"/>
    <w:rsid w:val="007E7AC5"/>
    <w:rsid w:val="007F32A7"/>
    <w:rsid w:val="00805CF9"/>
    <w:rsid w:val="00814E62"/>
    <w:rsid w:val="00816232"/>
    <w:rsid w:val="00816B29"/>
    <w:rsid w:val="00822CE9"/>
    <w:rsid w:val="00827619"/>
    <w:rsid w:val="00834CF2"/>
    <w:rsid w:val="0084165F"/>
    <w:rsid w:val="00841AD2"/>
    <w:rsid w:val="00844A50"/>
    <w:rsid w:val="0084713E"/>
    <w:rsid w:val="00851E22"/>
    <w:rsid w:val="0085259D"/>
    <w:rsid w:val="00854215"/>
    <w:rsid w:val="00854269"/>
    <w:rsid w:val="0085450A"/>
    <w:rsid w:val="00854EF3"/>
    <w:rsid w:val="0085529A"/>
    <w:rsid w:val="00864D5C"/>
    <w:rsid w:val="00872B24"/>
    <w:rsid w:val="00873AEB"/>
    <w:rsid w:val="0087438E"/>
    <w:rsid w:val="0087456F"/>
    <w:rsid w:val="00874B67"/>
    <w:rsid w:val="00875777"/>
    <w:rsid w:val="00875F87"/>
    <w:rsid w:val="0088191F"/>
    <w:rsid w:val="00882392"/>
    <w:rsid w:val="008864A9"/>
    <w:rsid w:val="00887C15"/>
    <w:rsid w:val="00890185"/>
    <w:rsid w:val="00890AFC"/>
    <w:rsid w:val="0089327A"/>
    <w:rsid w:val="008956C5"/>
    <w:rsid w:val="008975CC"/>
    <w:rsid w:val="008A0B20"/>
    <w:rsid w:val="008A1C96"/>
    <w:rsid w:val="008A2CE2"/>
    <w:rsid w:val="008A5B6D"/>
    <w:rsid w:val="008A73C2"/>
    <w:rsid w:val="008B06ED"/>
    <w:rsid w:val="008B391E"/>
    <w:rsid w:val="008B48FB"/>
    <w:rsid w:val="008B502C"/>
    <w:rsid w:val="008C337C"/>
    <w:rsid w:val="008E1075"/>
    <w:rsid w:val="008E5CE5"/>
    <w:rsid w:val="008F1D90"/>
    <w:rsid w:val="008F5FBA"/>
    <w:rsid w:val="008F6D7D"/>
    <w:rsid w:val="008F770B"/>
    <w:rsid w:val="008F7AEB"/>
    <w:rsid w:val="009033AA"/>
    <w:rsid w:val="009046C2"/>
    <w:rsid w:val="00907C00"/>
    <w:rsid w:val="0091718B"/>
    <w:rsid w:val="009211B3"/>
    <w:rsid w:val="0092192E"/>
    <w:rsid w:val="0092391F"/>
    <w:rsid w:val="00924613"/>
    <w:rsid w:val="00931E7E"/>
    <w:rsid w:val="00936F3E"/>
    <w:rsid w:val="00942883"/>
    <w:rsid w:val="009445D3"/>
    <w:rsid w:val="009456C0"/>
    <w:rsid w:val="009640F8"/>
    <w:rsid w:val="009663B3"/>
    <w:rsid w:val="00975A19"/>
    <w:rsid w:val="00977CB3"/>
    <w:rsid w:val="009817FA"/>
    <w:rsid w:val="00983ECE"/>
    <w:rsid w:val="0098439E"/>
    <w:rsid w:val="009905CF"/>
    <w:rsid w:val="009914A0"/>
    <w:rsid w:val="009922BE"/>
    <w:rsid w:val="00992FF6"/>
    <w:rsid w:val="009A3553"/>
    <w:rsid w:val="009B2CA2"/>
    <w:rsid w:val="009C2272"/>
    <w:rsid w:val="009E6C71"/>
    <w:rsid w:val="009E73E0"/>
    <w:rsid w:val="009F0FB8"/>
    <w:rsid w:val="00A016F5"/>
    <w:rsid w:val="00A04A16"/>
    <w:rsid w:val="00A131E7"/>
    <w:rsid w:val="00A257DA"/>
    <w:rsid w:val="00A25B4F"/>
    <w:rsid w:val="00A25ED6"/>
    <w:rsid w:val="00A34592"/>
    <w:rsid w:val="00A376AD"/>
    <w:rsid w:val="00A468F4"/>
    <w:rsid w:val="00A500F4"/>
    <w:rsid w:val="00A52818"/>
    <w:rsid w:val="00A54FA9"/>
    <w:rsid w:val="00A55FFF"/>
    <w:rsid w:val="00A61E41"/>
    <w:rsid w:val="00A6337B"/>
    <w:rsid w:val="00A63E50"/>
    <w:rsid w:val="00A70052"/>
    <w:rsid w:val="00A70147"/>
    <w:rsid w:val="00A70871"/>
    <w:rsid w:val="00A855D1"/>
    <w:rsid w:val="00A87E5D"/>
    <w:rsid w:val="00A910E7"/>
    <w:rsid w:val="00A925B1"/>
    <w:rsid w:val="00A93743"/>
    <w:rsid w:val="00AC1680"/>
    <w:rsid w:val="00AD16E0"/>
    <w:rsid w:val="00AD1EA7"/>
    <w:rsid w:val="00AD209E"/>
    <w:rsid w:val="00AD2B32"/>
    <w:rsid w:val="00AE3C6D"/>
    <w:rsid w:val="00AF6AA0"/>
    <w:rsid w:val="00B034BF"/>
    <w:rsid w:val="00B043A8"/>
    <w:rsid w:val="00B1203D"/>
    <w:rsid w:val="00B13DCF"/>
    <w:rsid w:val="00B20D59"/>
    <w:rsid w:val="00B33C46"/>
    <w:rsid w:val="00B36F9A"/>
    <w:rsid w:val="00B5280E"/>
    <w:rsid w:val="00B554EA"/>
    <w:rsid w:val="00B558C0"/>
    <w:rsid w:val="00B7404B"/>
    <w:rsid w:val="00B802A7"/>
    <w:rsid w:val="00B802E9"/>
    <w:rsid w:val="00B80331"/>
    <w:rsid w:val="00B8175B"/>
    <w:rsid w:val="00B8426F"/>
    <w:rsid w:val="00B84E46"/>
    <w:rsid w:val="00B866A5"/>
    <w:rsid w:val="00B90EAF"/>
    <w:rsid w:val="00B93C54"/>
    <w:rsid w:val="00B97E5D"/>
    <w:rsid w:val="00BB2165"/>
    <w:rsid w:val="00BB5976"/>
    <w:rsid w:val="00BB7E17"/>
    <w:rsid w:val="00BC1B64"/>
    <w:rsid w:val="00BC38DD"/>
    <w:rsid w:val="00BC5A35"/>
    <w:rsid w:val="00BE30C3"/>
    <w:rsid w:val="00BE7DF4"/>
    <w:rsid w:val="00BF0F26"/>
    <w:rsid w:val="00BF5482"/>
    <w:rsid w:val="00BF6EF9"/>
    <w:rsid w:val="00C03ABA"/>
    <w:rsid w:val="00C1012A"/>
    <w:rsid w:val="00C10FE4"/>
    <w:rsid w:val="00C15A9A"/>
    <w:rsid w:val="00C17807"/>
    <w:rsid w:val="00C22FDB"/>
    <w:rsid w:val="00C23187"/>
    <w:rsid w:val="00C2716D"/>
    <w:rsid w:val="00C34579"/>
    <w:rsid w:val="00C353A8"/>
    <w:rsid w:val="00C37557"/>
    <w:rsid w:val="00C40CA8"/>
    <w:rsid w:val="00C42256"/>
    <w:rsid w:val="00C422C8"/>
    <w:rsid w:val="00C433DC"/>
    <w:rsid w:val="00C43F91"/>
    <w:rsid w:val="00C46643"/>
    <w:rsid w:val="00C603AE"/>
    <w:rsid w:val="00C63CCB"/>
    <w:rsid w:val="00C65DBF"/>
    <w:rsid w:val="00C669F8"/>
    <w:rsid w:val="00C67895"/>
    <w:rsid w:val="00C746B4"/>
    <w:rsid w:val="00C769C1"/>
    <w:rsid w:val="00C81266"/>
    <w:rsid w:val="00C82043"/>
    <w:rsid w:val="00C841DD"/>
    <w:rsid w:val="00C87F5B"/>
    <w:rsid w:val="00C93A2B"/>
    <w:rsid w:val="00CA0172"/>
    <w:rsid w:val="00CA03DF"/>
    <w:rsid w:val="00CB1706"/>
    <w:rsid w:val="00CC13FC"/>
    <w:rsid w:val="00CC1FF6"/>
    <w:rsid w:val="00CC4402"/>
    <w:rsid w:val="00CC4F65"/>
    <w:rsid w:val="00CD0B11"/>
    <w:rsid w:val="00CD28E0"/>
    <w:rsid w:val="00CD5055"/>
    <w:rsid w:val="00CD5182"/>
    <w:rsid w:val="00CE36D5"/>
    <w:rsid w:val="00CE4881"/>
    <w:rsid w:val="00D05AA6"/>
    <w:rsid w:val="00D05DF2"/>
    <w:rsid w:val="00D129D3"/>
    <w:rsid w:val="00D149E4"/>
    <w:rsid w:val="00D17D1D"/>
    <w:rsid w:val="00D26CD3"/>
    <w:rsid w:val="00D32E50"/>
    <w:rsid w:val="00D33B32"/>
    <w:rsid w:val="00D33D07"/>
    <w:rsid w:val="00D34688"/>
    <w:rsid w:val="00D4114F"/>
    <w:rsid w:val="00D46820"/>
    <w:rsid w:val="00D50B83"/>
    <w:rsid w:val="00D539DD"/>
    <w:rsid w:val="00D57793"/>
    <w:rsid w:val="00D64607"/>
    <w:rsid w:val="00D73789"/>
    <w:rsid w:val="00D809C0"/>
    <w:rsid w:val="00D80FC1"/>
    <w:rsid w:val="00D830D0"/>
    <w:rsid w:val="00D8722B"/>
    <w:rsid w:val="00D87BDC"/>
    <w:rsid w:val="00D90121"/>
    <w:rsid w:val="00D9135B"/>
    <w:rsid w:val="00D92B5F"/>
    <w:rsid w:val="00DA1F3B"/>
    <w:rsid w:val="00DB19F0"/>
    <w:rsid w:val="00DB4D98"/>
    <w:rsid w:val="00DC370E"/>
    <w:rsid w:val="00DD0C7B"/>
    <w:rsid w:val="00DD24AE"/>
    <w:rsid w:val="00DD3278"/>
    <w:rsid w:val="00DE1E1B"/>
    <w:rsid w:val="00DE4DA3"/>
    <w:rsid w:val="00DE54AF"/>
    <w:rsid w:val="00DE6B5A"/>
    <w:rsid w:val="00DF3797"/>
    <w:rsid w:val="00DF5A3D"/>
    <w:rsid w:val="00E11B9F"/>
    <w:rsid w:val="00E12659"/>
    <w:rsid w:val="00E12D22"/>
    <w:rsid w:val="00E170B4"/>
    <w:rsid w:val="00E27ACC"/>
    <w:rsid w:val="00E317F7"/>
    <w:rsid w:val="00E339B0"/>
    <w:rsid w:val="00E35B81"/>
    <w:rsid w:val="00E36F86"/>
    <w:rsid w:val="00E371E0"/>
    <w:rsid w:val="00E4215E"/>
    <w:rsid w:val="00E436E0"/>
    <w:rsid w:val="00E46DB0"/>
    <w:rsid w:val="00E54B1B"/>
    <w:rsid w:val="00E56238"/>
    <w:rsid w:val="00E57232"/>
    <w:rsid w:val="00E57B47"/>
    <w:rsid w:val="00E63077"/>
    <w:rsid w:val="00E6550D"/>
    <w:rsid w:val="00E71513"/>
    <w:rsid w:val="00E71A4B"/>
    <w:rsid w:val="00E7788C"/>
    <w:rsid w:val="00E7788F"/>
    <w:rsid w:val="00E81F5A"/>
    <w:rsid w:val="00E82D44"/>
    <w:rsid w:val="00E86A1B"/>
    <w:rsid w:val="00E90380"/>
    <w:rsid w:val="00E9277D"/>
    <w:rsid w:val="00E9298C"/>
    <w:rsid w:val="00E94C31"/>
    <w:rsid w:val="00E94FE7"/>
    <w:rsid w:val="00E9625D"/>
    <w:rsid w:val="00EA5CE3"/>
    <w:rsid w:val="00EB1F27"/>
    <w:rsid w:val="00EB4336"/>
    <w:rsid w:val="00EC5814"/>
    <w:rsid w:val="00EC69A2"/>
    <w:rsid w:val="00ED33E7"/>
    <w:rsid w:val="00ED58A0"/>
    <w:rsid w:val="00ED7BFB"/>
    <w:rsid w:val="00EE0DD9"/>
    <w:rsid w:val="00EE259F"/>
    <w:rsid w:val="00EF327C"/>
    <w:rsid w:val="00EF3B03"/>
    <w:rsid w:val="00EF42FC"/>
    <w:rsid w:val="00EF6316"/>
    <w:rsid w:val="00EF72C5"/>
    <w:rsid w:val="00F176FC"/>
    <w:rsid w:val="00F26F3D"/>
    <w:rsid w:val="00F30A97"/>
    <w:rsid w:val="00F30C26"/>
    <w:rsid w:val="00F3378A"/>
    <w:rsid w:val="00F36B90"/>
    <w:rsid w:val="00F36C7E"/>
    <w:rsid w:val="00F37A4F"/>
    <w:rsid w:val="00F41B99"/>
    <w:rsid w:val="00F63498"/>
    <w:rsid w:val="00F75C18"/>
    <w:rsid w:val="00F75D3F"/>
    <w:rsid w:val="00F84EAB"/>
    <w:rsid w:val="00F90671"/>
    <w:rsid w:val="00F91C6A"/>
    <w:rsid w:val="00F91E30"/>
    <w:rsid w:val="00F93DCD"/>
    <w:rsid w:val="00FA2017"/>
    <w:rsid w:val="00FA2144"/>
    <w:rsid w:val="00FB215F"/>
    <w:rsid w:val="00FC3627"/>
    <w:rsid w:val="00FC6839"/>
    <w:rsid w:val="00FD12EC"/>
    <w:rsid w:val="00FD4B58"/>
    <w:rsid w:val="00FE05EA"/>
    <w:rsid w:val="00FE33F8"/>
    <w:rsid w:val="00FE47CC"/>
    <w:rsid w:val="00FE5828"/>
    <w:rsid w:val="00FE58E6"/>
    <w:rsid w:val="00FE6262"/>
    <w:rsid w:val="00FF2366"/>
    <w:rsid w:val="00FF42C0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4D72F"/>
  <w14:defaultImageDpi w14:val="300"/>
  <w15:docId w15:val="{332CC0E4-60A3-8F49-8181-28950226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B9F"/>
  </w:style>
  <w:style w:type="paragraph" w:styleId="Heading5">
    <w:name w:val="heading 5"/>
    <w:basedOn w:val="Normal"/>
    <w:next w:val="Normal"/>
    <w:qFormat/>
    <w:rsid w:val="00E11B9F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xt">
    <w:name w:val="bodytxt"/>
    <w:basedOn w:val="Normal"/>
    <w:rsid w:val="00E11B9F"/>
    <w:pPr>
      <w:spacing w:line="480" w:lineRule="auto"/>
      <w:ind w:firstLine="720"/>
    </w:pPr>
    <w:rPr>
      <w:sz w:val="24"/>
    </w:rPr>
  </w:style>
  <w:style w:type="paragraph" w:customStyle="1" w:styleId="Quote1">
    <w:name w:val="Quote1"/>
    <w:basedOn w:val="bodytxt"/>
    <w:rsid w:val="00E11B9F"/>
    <w:pPr>
      <w:spacing w:before="120" w:after="120" w:line="240" w:lineRule="auto"/>
      <w:ind w:left="720" w:firstLine="0"/>
    </w:pPr>
  </w:style>
  <w:style w:type="paragraph" w:customStyle="1" w:styleId="Head">
    <w:name w:val="Head"/>
    <w:basedOn w:val="Normal"/>
    <w:rsid w:val="00E11B9F"/>
    <w:pPr>
      <w:pBdr>
        <w:bottom w:val="single" w:sz="6" w:space="4" w:color="auto"/>
      </w:pBdr>
      <w:tabs>
        <w:tab w:val="left" w:leader="dot" w:pos="4950"/>
      </w:tabs>
    </w:pPr>
    <w:rPr>
      <w:b/>
      <w:sz w:val="32"/>
    </w:rPr>
  </w:style>
  <w:style w:type="paragraph" w:customStyle="1" w:styleId="subhead">
    <w:name w:val="subhead"/>
    <w:basedOn w:val="bodytxt"/>
    <w:rsid w:val="00E11B9F"/>
    <w:pPr>
      <w:spacing w:after="240" w:line="360" w:lineRule="auto"/>
      <w:ind w:firstLine="0"/>
    </w:pPr>
    <w:rPr>
      <w:b/>
      <w:sz w:val="28"/>
    </w:rPr>
  </w:style>
  <w:style w:type="paragraph" w:customStyle="1" w:styleId="vitatitle">
    <w:name w:val="vita title"/>
    <w:aliases w:val="vt"/>
    <w:basedOn w:val="Normal"/>
    <w:rsid w:val="00E11B9F"/>
    <w:pPr>
      <w:pBdr>
        <w:bottom w:val="single" w:sz="12" w:space="9" w:color="auto"/>
      </w:pBdr>
      <w:tabs>
        <w:tab w:val="left" w:pos="6480"/>
      </w:tabs>
      <w:spacing w:after="480"/>
    </w:pPr>
    <w:rPr>
      <w:rFonts w:ascii="Times" w:hAnsi="Times"/>
      <w:b/>
      <w:sz w:val="28"/>
    </w:rPr>
  </w:style>
  <w:style w:type="paragraph" w:customStyle="1" w:styleId="vitaentry">
    <w:name w:val="vita entry"/>
    <w:aliases w:val="ve"/>
    <w:basedOn w:val="Normal"/>
    <w:rsid w:val="00E11B9F"/>
    <w:pPr>
      <w:tabs>
        <w:tab w:val="left" w:pos="1260"/>
      </w:tabs>
      <w:spacing w:after="200"/>
    </w:pPr>
    <w:rPr>
      <w:rFonts w:ascii="Times" w:hAnsi="Times"/>
      <w:sz w:val="24"/>
    </w:rPr>
  </w:style>
  <w:style w:type="paragraph" w:customStyle="1" w:styleId="headinga">
    <w:name w:val="heading a"/>
    <w:aliases w:val="ha"/>
    <w:basedOn w:val="Normal"/>
    <w:rsid w:val="00E11B9F"/>
    <w:pPr>
      <w:spacing w:before="280" w:after="120"/>
    </w:pPr>
    <w:rPr>
      <w:rFonts w:ascii="Times" w:hAnsi="Times"/>
      <w:b/>
      <w:sz w:val="24"/>
    </w:rPr>
  </w:style>
  <w:style w:type="paragraph" w:styleId="List">
    <w:name w:val="List"/>
    <w:basedOn w:val="Normal"/>
    <w:rsid w:val="00E11B9F"/>
    <w:pPr>
      <w:ind w:left="360" w:hanging="360"/>
    </w:pPr>
  </w:style>
  <w:style w:type="paragraph" w:styleId="ListBullet">
    <w:name w:val="List Bullet"/>
    <w:basedOn w:val="Normal"/>
    <w:rsid w:val="00E11B9F"/>
    <w:pPr>
      <w:tabs>
        <w:tab w:val="left" w:pos="360"/>
      </w:tabs>
      <w:ind w:left="360" w:hanging="360"/>
    </w:pPr>
  </w:style>
  <w:style w:type="paragraph" w:styleId="Header">
    <w:name w:val="header"/>
    <w:basedOn w:val="Normal"/>
    <w:rsid w:val="00E11B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B9F"/>
  </w:style>
  <w:style w:type="paragraph" w:customStyle="1" w:styleId="paragraphtext">
    <w:name w:val="paragraph text"/>
    <w:aliases w:val="pt"/>
    <w:basedOn w:val="Normal"/>
    <w:rsid w:val="00E11B9F"/>
    <w:pPr>
      <w:spacing w:after="240" w:line="360" w:lineRule="auto"/>
      <w:ind w:firstLine="547"/>
      <w:jc w:val="both"/>
    </w:pPr>
    <w:rPr>
      <w:rFonts w:ascii="Palatino" w:hAnsi="Palatino"/>
      <w:sz w:val="22"/>
    </w:rPr>
  </w:style>
  <w:style w:type="paragraph" w:customStyle="1" w:styleId="tabtext">
    <w:name w:val="tab text"/>
    <w:basedOn w:val="Normal"/>
    <w:rsid w:val="00E11B9F"/>
    <w:pPr>
      <w:spacing w:after="240" w:line="360" w:lineRule="atLeast"/>
      <w:ind w:firstLine="540"/>
      <w:jc w:val="both"/>
    </w:pPr>
    <w:rPr>
      <w:sz w:val="24"/>
    </w:rPr>
  </w:style>
  <w:style w:type="character" w:styleId="Hyperlink">
    <w:name w:val="Hyperlink"/>
    <w:uiPriority w:val="99"/>
    <w:rsid w:val="00455B95"/>
    <w:rPr>
      <w:color w:val="0000FF"/>
      <w:u w:val="single"/>
    </w:rPr>
  </w:style>
  <w:style w:type="paragraph" w:customStyle="1" w:styleId="NEWHEAD">
    <w:name w:val="NEW HEAD"/>
    <w:basedOn w:val="headinga"/>
    <w:rsid w:val="00E11B9F"/>
    <w:pPr>
      <w:keepNext/>
      <w:keepLines/>
    </w:pPr>
    <w:rPr>
      <w:rFonts w:ascii="Franklin Gothic Demi" w:hAnsi="Franklin Gothic Demi"/>
      <w:b w:val="0"/>
      <w:bCs/>
    </w:rPr>
  </w:style>
  <w:style w:type="paragraph" w:styleId="BalloonText">
    <w:name w:val="Balloon Text"/>
    <w:basedOn w:val="Normal"/>
    <w:semiHidden/>
    <w:rsid w:val="00890AFC"/>
    <w:rPr>
      <w:rFonts w:ascii="Tahoma" w:hAnsi="Tahoma" w:cs="Tahoma"/>
      <w:sz w:val="16"/>
      <w:szCs w:val="16"/>
    </w:rPr>
  </w:style>
  <w:style w:type="paragraph" w:customStyle="1" w:styleId="VitaHead">
    <w:name w:val="Vita Head"/>
    <w:basedOn w:val="NEWHEAD"/>
    <w:rsid w:val="00F36C7E"/>
    <w:pPr>
      <w:pBdr>
        <w:bottom w:val="single" w:sz="4" w:space="1" w:color="auto"/>
      </w:pBdr>
    </w:pPr>
    <w:rPr>
      <w:rFonts w:ascii="Times New Roman" w:hAnsi="Times New Roman"/>
      <w:b/>
      <w:smallCaps/>
    </w:rPr>
  </w:style>
  <w:style w:type="paragraph" w:customStyle="1" w:styleId="VitaPub">
    <w:name w:val="Vita Pub"/>
    <w:basedOn w:val="vitaentry"/>
    <w:rsid w:val="00DE6B5A"/>
    <w:pPr>
      <w:tabs>
        <w:tab w:val="clear" w:pos="1260"/>
        <w:tab w:val="left" w:pos="720"/>
      </w:tabs>
      <w:ind w:left="720" w:hanging="720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6C4D28"/>
    <w:pPr>
      <w:jc w:val="both"/>
    </w:pPr>
    <w:rPr>
      <w:rFonts w:ascii="Courier" w:hAnsi="Courier"/>
      <w:sz w:val="24"/>
    </w:rPr>
  </w:style>
  <w:style w:type="paragraph" w:styleId="NoSpacing">
    <w:name w:val="No Spacing"/>
    <w:link w:val="NoSpacingChar"/>
    <w:uiPriority w:val="1"/>
    <w:qFormat/>
    <w:rsid w:val="00C23187"/>
    <w:pPr>
      <w:suppressAutoHyphens/>
      <w:ind w:firstLine="720"/>
    </w:pPr>
    <w:rPr>
      <w:sz w:val="24"/>
      <w:szCs w:val="22"/>
      <w:lang w:eastAsia="ar-SA"/>
    </w:rPr>
  </w:style>
  <w:style w:type="paragraph" w:customStyle="1" w:styleId="BlockText1">
    <w:name w:val="Block Text1"/>
    <w:basedOn w:val="Normal"/>
    <w:qFormat/>
    <w:rsid w:val="00A70147"/>
    <w:rPr>
      <w:sz w:val="24"/>
      <w:szCs w:val="22"/>
    </w:rPr>
  </w:style>
  <w:style w:type="paragraph" w:customStyle="1" w:styleId="job">
    <w:name w:val="job"/>
    <w:basedOn w:val="VitaPub"/>
    <w:qFormat/>
    <w:rsid w:val="001F50B4"/>
    <w:pPr>
      <w:ind w:left="990" w:hanging="630"/>
    </w:pPr>
  </w:style>
  <w:style w:type="paragraph" w:customStyle="1" w:styleId="job0">
    <w:name w:val="_job"/>
    <w:basedOn w:val="VitaPub"/>
    <w:qFormat/>
    <w:rsid w:val="001F50B4"/>
    <w:pPr>
      <w:ind w:left="990" w:hanging="630"/>
    </w:pPr>
  </w:style>
  <w:style w:type="character" w:customStyle="1" w:styleId="NoSpacingChar">
    <w:name w:val="No Spacing Char"/>
    <w:link w:val="NoSpacing"/>
    <w:uiPriority w:val="1"/>
    <w:rsid w:val="007D5D7A"/>
    <w:rPr>
      <w:sz w:val="24"/>
      <w:szCs w:val="22"/>
      <w:lang w:eastAsia="ar-SA"/>
    </w:rPr>
  </w:style>
  <w:style w:type="character" w:customStyle="1" w:styleId="paperlisttitle">
    <w:name w:val="paperlisttitle"/>
    <w:basedOn w:val="DefaultParagraphFont"/>
    <w:rsid w:val="00186850"/>
  </w:style>
  <w:style w:type="character" w:customStyle="1" w:styleId="topdisplay">
    <w:name w:val="topdisplay"/>
    <w:basedOn w:val="DefaultParagraphFont"/>
    <w:rsid w:val="00186850"/>
  </w:style>
  <w:style w:type="character" w:customStyle="1" w:styleId="entryinformation">
    <w:name w:val="entryinformation"/>
    <w:basedOn w:val="DefaultParagraphFont"/>
    <w:rsid w:val="00186850"/>
  </w:style>
  <w:style w:type="character" w:styleId="Emphasis">
    <w:name w:val="Emphasis"/>
    <w:basedOn w:val="DefaultParagraphFont"/>
    <w:uiPriority w:val="20"/>
    <w:qFormat/>
    <w:rsid w:val="00215164"/>
    <w:rPr>
      <w:i/>
      <w:iCs/>
    </w:rPr>
  </w:style>
  <w:style w:type="character" w:customStyle="1" w:styleId="print-title">
    <w:name w:val="print-title"/>
    <w:basedOn w:val="DefaultParagraphFont"/>
    <w:rsid w:val="00215164"/>
  </w:style>
  <w:style w:type="character" w:styleId="CommentReference">
    <w:name w:val="annotation reference"/>
    <w:basedOn w:val="DefaultParagraphFont"/>
    <w:uiPriority w:val="99"/>
    <w:semiHidden/>
    <w:unhideWhenUsed/>
    <w:rsid w:val="00692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C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C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2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2CCC"/>
    <w:rPr>
      <w:b/>
      <w:bCs/>
    </w:rPr>
  </w:style>
  <w:style w:type="paragraph" w:customStyle="1" w:styleId="sectionsub">
    <w:name w:val="section sub"/>
    <w:basedOn w:val="VitaHead"/>
    <w:qFormat/>
    <w:rsid w:val="001D1143"/>
    <w:pPr>
      <w:pBdr>
        <w:bottom w:val="none" w:sz="0" w:space="0" w:color="auto"/>
      </w:pBdr>
      <w:ind w:left="270" w:firstLine="720"/>
    </w:pPr>
    <w:rPr>
      <w:b w:val="0"/>
      <w:i/>
      <w:smallCaps w:val="0"/>
    </w:rPr>
  </w:style>
  <w:style w:type="paragraph" w:customStyle="1" w:styleId="aasectionsub">
    <w:name w:val="aa_section sub"/>
    <w:basedOn w:val="VitaPub"/>
    <w:qFormat/>
    <w:rsid w:val="009445D3"/>
    <w:pPr>
      <w:tabs>
        <w:tab w:val="clear" w:pos="720"/>
        <w:tab w:val="left" w:pos="1620"/>
        <w:tab w:val="right" w:pos="9270"/>
      </w:tabs>
      <w:spacing w:before="360" w:after="160"/>
      <w:ind w:left="360" w:firstLine="0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241E2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1E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11B07"/>
    <w:rPr>
      <w:color w:val="605E5C"/>
      <w:shd w:val="clear" w:color="auto" w:fill="E1DFDD"/>
    </w:rPr>
  </w:style>
  <w:style w:type="character" w:styleId="FootnoteReference">
    <w:name w:val="footnote reference"/>
    <w:uiPriority w:val="99"/>
    <w:rsid w:val="00CE36D5"/>
    <w:rPr>
      <w:rFonts w:ascii="Times New Roman" w:hAnsi="Times New Roman"/>
      <w:bCs/>
      <w:iCs/>
      <w:dstrike w:val="0"/>
      <w:sz w:val="24"/>
      <w:szCs w:val="20"/>
      <w:vertAlign w:val="superscript"/>
    </w:rPr>
  </w:style>
  <w:style w:type="paragraph" w:customStyle="1" w:styleId="footnote">
    <w:name w:val="footnote"/>
    <w:basedOn w:val="CommentText"/>
    <w:qFormat/>
    <w:rsid w:val="00CE36D5"/>
    <w:rPr>
      <w:rFonts w:eastAsiaTheme="minorHAnsi" w:cs="Times New Roman (Body CS)"/>
    </w:rPr>
  </w:style>
  <w:style w:type="paragraph" w:styleId="Title">
    <w:name w:val="Title"/>
    <w:basedOn w:val="Normal"/>
    <w:link w:val="TitleChar"/>
    <w:qFormat/>
    <w:rsid w:val="0014685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4685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uen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econedurev.2020.101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2272FE-D5B0-4F52-ADBA-A254F501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Eric Lauen</vt:lpstr>
    </vt:vector>
  </TitlesOfParts>
  <Company>Dell Computer Corporation</Company>
  <LinksUpToDate>false</LinksUpToDate>
  <CharactersWithSpaces>26089</CharactersWithSpaces>
  <SharedDoc>false</SharedDoc>
  <HLinks>
    <vt:vector size="6" baseType="variant"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mailto:dlauen@unc.edu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Eric Lauen</dc:title>
  <dc:creator>Don Eike</dc:creator>
  <cp:lastModifiedBy>Lauen, Douglas L</cp:lastModifiedBy>
  <cp:revision>5</cp:revision>
  <cp:lastPrinted>2021-05-28T17:04:00Z</cp:lastPrinted>
  <dcterms:created xsi:type="dcterms:W3CDTF">2022-02-02T01:40:00Z</dcterms:created>
  <dcterms:modified xsi:type="dcterms:W3CDTF">2022-03-23T18:19:00Z</dcterms:modified>
</cp:coreProperties>
</file>